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D93" w:rsidRDefault="00DD5754">
      <w:pPr>
        <w:snapToGrid w:val="0"/>
        <w:ind w:left="1701" w:hanging="1701"/>
        <w:jc w:val="left"/>
        <w:rPr>
          <w:rFonts w:ascii="Arial" w:hAnsi="Arial" w:cs="Arial"/>
          <w:b/>
          <w:bCs/>
          <w:kern w:val="0"/>
          <w:sz w:val="22"/>
          <w:szCs w:val="22"/>
        </w:rPr>
      </w:pPr>
      <w:bookmarkStart w:id="0" w:name="OLE_LINK1"/>
      <w:bookmarkStart w:id="1" w:name="OLE_LINK2"/>
      <w:bookmarkStart w:id="2" w:name="_Ref124589665"/>
      <w:bookmarkStart w:id="3" w:name="_Ref71620620"/>
      <w:bookmarkStart w:id="4" w:name="_Ref124671424"/>
      <w:r>
        <w:rPr>
          <w:rFonts w:ascii="Arial" w:eastAsia="Calibri" w:hAnsi="Arial" w:cs="Arial"/>
          <w:b/>
          <w:bCs/>
          <w:kern w:val="0"/>
          <w:sz w:val="22"/>
          <w:szCs w:val="22"/>
          <w:lang w:eastAsia="en-US"/>
        </w:rPr>
        <w:t>3GPP TSG RAN WG1 #10</w:t>
      </w:r>
      <w:r>
        <w:rPr>
          <w:rFonts w:ascii="Arial" w:hAnsi="Arial" w:cs="Arial" w:hint="eastAsia"/>
          <w:b/>
          <w:bCs/>
          <w:kern w:val="0"/>
          <w:sz w:val="22"/>
          <w:szCs w:val="22"/>
        </w:rPr>
        <w:t>7</w:t>
      </w:r>
      <w:r>
        <w:rPr>
          <w:rFonts w:ascii="Arial" w:hAnsi="Arial" w:cs="Arial" w:hint="eastAsia"/>
          <w:b/>
          <w:bCs/>
          <w:kern w:val="0"/>
          <w:sz w:val="22"/>
          <w:szCs w:val="22"/>
        </w:rPr>
        <w:t>-</w:t>
      </w:r>
      <w:r>
        <w:rPr>
          <w:rFonts w:ascii="Arial" w:hAnsi="Arial" w:cs="Arial"/>
          <w:b/>
          <w:bCs/>
          <w:kern w:val="0"/>
          <w:sz w:val="22"/>
          <w:szCs w:val="22"/>
        </w:rPr>
        <w:t>e</w:t>
      </w:r>
      <w:r>
        <w:rPr>
          <w:rFonts w:ascii="Arial" w:hAnsi="Arial" w:cs="Arial" w:hint="eastAsia"/>
          <w:b/>
          <w:bCs/>
          <w:kern w:val="0"/>
          <w:sz w:val="22"/>
          <w:szCs w:val="22"/>
        </w:rPr>
        <w:t xml:space="preserve">                               </w:t>
      </w:r>
      <w:r w:rsidR="004F42E1">
        <w:rPr>
          <w:rFonts w:ascii="Arial" w:hAnsi="Arial" w:cs="Arial"/>
          <w:b/>
          <w:bCs/>
          <w:kern w:val="0"/>
          <w:sz w:val="22"/>
          <w:szCs w:val="22"/>
        </w:rPr>
        <w:t xml:space="preserve"> </w:t>
      </w:r>
      <w:bookmarkStart w:id="5" w:name="_GoBack"/>
      <w:bookmarkEnd w:id="5"/>
      <w:r>
        <w:rPr>
          <w:rFonts w:ascii="Arial" w:hAnsi="Arial" w:cs="Arial" w:hint="eastAsia"/>
          <w:b/>
          <w:bCs/>
          <w:kern w:val="0"/>
          <w:sz w:val="22"/>
          <w:szCs w:val="22"/>
        </w:rPr>
        <w:t xml:space="preserve">     </w:t>
      </w:r>
      <w:r>
        <w:rPr>
          <w:rFonts w:ascii="Arial" w:hAnsi="Arial" w:cs="Arial"/>
          <w:b/>
          <w:bCs/>
          <w:kern w:val="0"/>
          <w:sz w:val="22"/>
          <w:szCs w:val="22"/>
        </w:rPr>
        <w:t>R1-</w:t>
      </w:r>
      <w:r w:rsidR="004F42E1">
        <w:rPr>
          <w:rFonts w:ascii="Arial" w:hAnsi="Arial" w:cs="Arial"/>
          <w:b/>
          <w:bCs/>
          <w:kern w:val="0"/>
          <w:sz w:val="22"/>
          <w:szCs w:val="22"/>
        </w:rPr>
        <w:t>2111665</w:t>
      </w:r>
    </w:p>
    <w:p w:rsidR="00676D93" w:rsidRDefault="00DD5754">
      <w:pPr>
        <w:widowControl/>
        <w:tabs>
          <w:tab w:val="left" w:pos="1304"/>
          <w:tab w:val="left" w:pos="1701"/>
        </w:tabs>
        <w:snapToGrid w:val="0"/>
        <w:spacing w:after="160" w:line="259" w:lineRule="auto"/>
        <w:ind w:left="1701" w:hanging="1701"/>
        <w:jc w:val="left"/>
        <w:rPr>
          <w:rFonts w:ascii="Arial" w:hAnsi="Arial" w:cs="Arial"/>
          <w:b/>
          <w:sz w:val="22"/>
          <w:szCs w:val="22"/>
        </w:rPr>
      </w:pPr>
      <w:r>
        <w:rPr>
          <w:rFonts w:ascii="Arial" w:eastAsia="Calibri" w:hAnsi="Arial" w:cs="Arial"/>
          <w:b/>
          <w:bCs/>
          <w:kern w:val="0"/>
          <w:sz w:val="22"/>
          <w:szCs w:val="22"/>
          <w:lang w:eastAsia="en-US"/>
        </w:rPr>
        <w:t xml:space="preserve">e-Meeting, </w:t>
      </w:r>
      <w:r>
        <w:rPr>
          <w:rFonts w:ascii="Arial" w:hAnsi="Arial" w:cs="Arial" w:hint="eastAsia"/>
          <w:b/>
          <w:bCs/>
          <w:kern w:val="0"/>
          <w:sz w:val="22"/>
          <w:szCs w:val="22"/>
        </w:rPr>
        <w:t>Novem</w:t>
      </w:r>
      <w:r>
        <w:rPr>
          <w:rFonts w:ascii="Arial" w:eastAsia="Calibri" w:hAnsi="Arial" w:cs="Arial"/>
          <w:b/>
          <w:bCs/>
          <w:kern w:val="0"/>
          <w:sz w:val="22"/>
          <w:szCs w:val="22"/>
          <w:lang w:eastAsia="ja-JP"/>
        </w:rPr>
        <w:t>ber 11</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ja-JP"/>
        </w:rPr>
        <w:t xml:space="preserve"> </w:t>
      </w:r>
      <w:r>
        <w:rPr>
          <w:rFonts w:ascii="Arial" w:hAnsi="Arial" w:cs="Arial" w:hint="eastAsia"/>
          <w:b/>
          <w:bCs/>
          <w:kern w:val="0"/>
          <w:sz w:val="22"/>
          <w:szCs w:val="22"/>
        </w:rPr>
        <w:t>-</w:t>
      </w:r>
      <w:r>
        <w:rPr>
          <w:rFonts w:ascii="Arial" w:eastAsia="Calibri" w:hAnsi="Arial" w:cs="Arial"/>
          <w:b/>
          <w:bCs/>
          <w:kern w:val="0"/>
          <w:sz w:val="22"/>
          <w:szCs w:val="22"/>
          <w:lang w:eastAsia="ja-JP"/>
        </w:rPr>
        <w:t xml:space="preserve"> 19</w:t>
      </w:r>
      <w:r>
        <w:rPr>
          <w:rFonts w:ascii="Arial" w:eastAsia="Calibri" w:hAnsi="Arial" w:cs="Arial"/>
          <w:b/>
          <w:bCs/>
          <w:kern w:val="0"/>
          <w:sz w:val="22"/>
          <w:szCs w:val="22"/>
          <w:vertAlign w:val="superscript"/>
          <w:lang w:eastAsia="ja-JP"/>
        </w:rPr>
        <w:t>th</w:t>
      </w:r>
      <w:r>
        <w:rPr>
          <w:rFonts w:ascii="Arial" w:eastAsia="Calibri" w:hAnsi="Arial" w:cs="Arial"/>
          <w:b/>
          <w:bCs/>
          <w:kern w:val="0"/>
          <w:sz w:val="22"/>
          <w:szCs w:val="22"/>
          <w:lang w:eastAsia="en-US"/>
        </w:rPr>
        <w:t>, 202</w:t>
      </w:r>
      <w:r>
        <w:rPr>
          <w:rFonts w:ascii="Arial" w:hAnsi="Arial" w:cs="Arial" w:hint="eastAsia"/>
          <w:b/>
          <w:bCs/>
          <w:kern w:val="0"/>
          <w:sz w:val="22"/>
          <w:szCs w:val="22"/>
        </w:rPr>
        <w:t>1</w:t>
      </w:r>
    </w:p>
    <w:p w:rsidR="00676D93" w:rsidRDefault="00DD5754">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676D93" w:rsidRDefault="00DD5754">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UE features for NR</w:t>
      </w:r>
      <w:r>
        <w:rPr>
          <w:rFonts w:ascii="Arial" w:hAnsi="Arial" w:cs="Arial" w:hint="eastAsia"/>
          <w:b/>
          <w:sz w:val="22"/>
          <w:szCs w:val="22"/>
        </w:rPr>
        <w:t>-</w:t>
      </w:r>
      <w:r>
        <w:rPr>
          <w:rFonts w:ascii="Arial" w:hAnsi="Arial" w:cs="Arial"/>
          <w:b/>
          <w:sz w:val="22"/>
          <w:szCs w:val="22"/>
        </w:rPr>
        <w:t>NTN</w:t>
      </w:r>
    </w:p>
    <w:p w:rsidR="00676D93" w:rsidRDefault="00DD5754">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w:t>
      </w:r>
      <w:r>
        <w:rPr>
          <w:rFonts w:ascii="Arial" w:hAnsi="Arial" w:cs="Arial" w:hint="eastAsia"/>
          <w:b/>
          <w:sz w:val="22"/>
          <w:szCs w:val="22"/>
        </w:rPr>
        <w:t>6</w:t>
      </w:r>
      <w:r>
        <w:rPr>
          <w:rFonts w:ascii="Arial" w:hAnsi="Arial" w:cs="Arial"/>
          <w:b/>
          <w:sz w:val="22"/>
          <w:szCs w:val="22"/>
        </w:rPr>
        <w:t>.</w:t>
      </w:r>
      <w:r>
        <w:rPr>
          <w:rFonts w:ascii="Arial" w:hAnsi="Arial" w:cs="Arial" w:hint="eastAsia"/>
          <w:b/>
          <w:sz w:val="22"/>
          <w:szCs w:val="22"/>
        </w:rPr>
        <w:t>4</w:t>
      </w:r>
    </w:p>
    <w:p w:rsidR="00676D93" w:rsidRDefault="00DD5754">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676D93" w:rsidRDefault="00DD5754">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676D93" w:rsidRDefault="00DD5754">
      <w:pPr>
        <w:adjustRightInd w:val="0"/>
        <w:snapToGrid w:val="0"/>
        <w:spacing w:beforeLines="50" w:before="156" w:afterLines="50" w:after="156"/>
        <w:rPr>
          <w:sz w:val="20"/>
          <w:szCs w:val="20"/>
        </w:rPr>
      </w:pPr>
      <w:r>
        <w:rPr>
          <w:sz w:val="20"/>
          <w:szCs w:val="20"/>
          <w:lang w:eastAsia="en-US"/>
        </w:rPr>
        <w:t>The UE feature</w:t>
      </w:r>
      <w:r>
        <w:rPr>
          <w:rFonts w:hint="eastAsia"/>
          <w:sz w:val="20"/>
          <w:szCs w:val="20"/>
        </w:rPr>
        <w:t>s list</w:t>
      </w:r>
      <w:r>
        <w:rPr>
          <w:sz w:val="20"/>
          <w:szCs w:val="20"/>
          <w:lang w:eastAsia="en-US"/>
        </w:rPr>
        <w:t xml:space="preserve"> for NR-NTN is provided in</w:t>
      </w:r>
      <w:r>
        <w:rPr>
          <w:rFonts w:hint="eastAsia"/>
          <w:sz w:val="20"/>
          <w:szCs w:val="20"/>
        </w:rPr>
        <w:t xml:space="preserve"> [1].</w:t>
      </w:r>
      <w:r>
        <w:rPr>
          <w:sz w:val="20"/>
          <w:szCs w:val="20"/>
        </w:rPr>
        <w:t xml:space="preserve"> In this contribution, our views on some features are elaborated with corresponding updates.</w:t>
      </w:r>
    </w:p>
    <w:p w:rsidR="00676D93" w:rsidRDefault="00DD575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Discussion on the UE feature for NR-NTN</w:t>
      </w:r>
    </w:p>
    <w:p w:rsidR="00676D93" w:rsidRDefault="00DD5754">
      <w:pPr>
        <w:adjustRightInd w:val="0"/>
        <w:snapToGrid w:val="0"/>
        <w:spacing w:beforeLines="50" w:before="156" w:afterLines="50" w:after="156"/>
        <w:rPr>
          <w:sz w:val="20"/>
          <w:szCs w:val="20"/>
        </w:rPr>
      </w:pPr>
      <w:r>
        <w:rPr>
          <w:rFonts w:hint="eastAsia"/>
          <w:sz w:val="20"/>
          <w:szCs w:val="20"/>
        </w:rPr>
        <w:t xml:space="preserve">As </w:t>
      </w:r>
      <w:r>
        <w:rPr>
          <w:rFonts w:hint="eastAsia"/>
          <w:sz w:val="20"/>
          <w:szCs w:val="20"/>
        </w:rPr>
        <w:fldChar w:fldCharType="begin"/>
      </w:r>
      <w:r>
        <w:rPr>
          <w:rFonts w:hint="eastAsia"/>
          <w:sz w:val="20"/>
          <w:szCs w:val="20"/>
        </w:rPr>
        <w:instrText xml:space="preserve"> REF _Ref8373 \h  \* MERGEFORMAT </w:instrText>
      </w:r>
      <w:r>
        <w:rPr>
          <w:rFonts w:hint="eastAsia"/>
          <w:sz w:val="20"/>
          <w:szCs w:val="20"/>
        </w:rPr>
      </w:r>
      <w:r>
        <w:rPr>
          <w:rFonts w:hint="eastAsia"/>
          <w:sz w:val="20"/>
          <w:szCs w:val="20"/>
        </w:rPr>
        <w:fldChar w:fldCharType="separate"/>
      </w:r>
      <w:r>
        <w:rPr>
          <w:rFonts w:hint="eastAsia"/>
          <w:sz w:val="20"/>
          <w:szCs w:val="20"/>
        </w:rPr>
        <w:t>Table 1</w:t>
      </w:r>
      <w:r>
        <w:rPr>
          <w:rFonts w:hint="eastAsia"/>
          <w:sz w:val="20"/>
          <w:szCs w:val="20"/>
        </w:rPr>
        <w:fldChar w:fldCharType="end"/>
      </w:r>
      <w:r>
        <w:rPr>
          <w:rFonts w:hint="eastAsia"/>
          <w:sz w:val="20"/>
          <w:szCs w:val="20"/>
        </w:rPr>
        <w:t xml:space="preserve"> lists, FG 26-1, 26-3, 26-4, and FG 26-9 are changed. W.r.t FG 26-1, following revise is suggested:</w:t>
      </w:r>
    </w:p>
    <w:p w:rsidR="00676D93" w:rsidRDefault="00DD5754">
      <w:pPr>
        <w:adjustRightInd w:val="0"/>
        <w:snapToGrid w:val="0"/>
        <w:spacing w:beforeLines="50" w:before="156" w:afterLines="50" w:after="156"/>
        <w:rPr>
          <w:sz w:val="20"/>
          <w:szCs w:val="20"/>
        </w:rPr>
      </w:pPr>
      <w:r>
        <w:rPr>
          <w:rFonts w:hint="eastAsia"/>
          <w:sz w:val="20"/>
          <w:szCs w:val="20"/>
        </w:rPr>
        <w:t xml:space="preserve">For component 3, </w:t>
      </w:r>
      <w:r>
        <w:rPr>
          <w:rFonts w:hint="eastAsia"/>
          <w:sz w:val="20"/>
          <w:szCs w:val="20"/>
          <w:lang w:val="en-GB" w:eastAsia="ja-JP"/>
        </w:rPr>
        <w:t>UE applies common TA according to the parameters provided by the network</w:t>
      </w:r>
      <w:r>
        <w:rPr>
          <w:rFonts w:hint="eastAsia"/>
          <w:strike/>
          <w:color w:val="FF0000"/>
          <w:sz w:val="20"/>
          <w:szCs w:val="20"/>
          <w:lang w:val="en-GB" w:eastAsia="ja-JP"/>
        </w:rPr>
        <w:t xml:space="preserve"> (if any)</w:t>
      </w:r>
      <w:r>
        <w:rPr>
          <w:rFonts w:hint="eastAsia"/>
          <w:color w:val="FF0000"/>
          <w:sz w:val="20"/>
          <w:szCs w:val="20"/>
        </w:rPr>
        <w:t xml:space="preserve"> </w:t>
      </w:r>
      <w:r>
        <w:rPr>
          <w:rFonts w:hint="eastAsia"/>
          <w:color w:val="FF0000"/>
          <w:sz w:val="20"/>
          <w:szCs w:val="20"/>
          <w:lang w:val="en-GB" w:eastAsia="ja-JP"/>
        </w:rPr>
        <w:t xml:space="preserve">(UE considers common TA as 0 if the parameter is not provided). </w:t>
      </w:r>
      <w:r>
        <w:rPr>
          <w:rFonts w:hint="eastAsia"/>
          <w:sz w:val="20"/>
          <w:szCs w:val="20"/>
        </w:rPr>
        <w:t>Because a UE will apply the timing advance T</w:t>
      </w:r>
      <w:r>
        <w:rPr>
          <w:rFonts w:hint="eastAsia"/>
          <w:sz w:val="20"/>
          <w:szCs w:val="20"/>
          <w:vertAlign w:val="subscript"/>
        </w:rPr>
        <w:t>TA</w:t>
      </w:r>
      <w:r>
        <w:rPr>
          <w:rFonts w:hint="eastAsia"/>
          <w:sz w:val="20"/>
          <w:szCs w:val="20"/>
        </w:rPr>
        <w:t xml:space="preserve"> accord</w:t>
      </w:r>
      <w:r>
        <w:rPr>
          <w:rFonts w:hint="eastAsia"/>
          <w:sz w:val="20"/>
          <w:szCs w:val="20"/>
        </w:rPr>
        <w:t xml:space="preserve">ing to the formula wherein the parameter of common TA should be either 0 or another value. For component 5, following UE feature </w:t>
      </w:r>
      <w:r>
        <w:rPr>
          <w:rFonts w:hint="eastAsia"/>
          <w:sz w:val="20"/>
          <w:szCs w:val="20"/>
        </w:rPr>
        <w:t>can be added to capture the agreement in RAN1#106bis [2]. i.e., A UE starts/restarts the validity timer at the epoch time of the serving satellite ephemeris and common TA.</w:t>
      </w:r>
    </w:p>
    <w:p w:rsidR="00676D93" w:rsidRDefault="00DD5754">
      <w:pPr>
        <w:adjustRightInd w:val="0"/>
        <w:snapToGrid w:val="0"/>
        <w:spacing w:beforeLines="50" w:before="156" w:afterLines="50" w:after="156"/>
        <w:rPr>
          <w:sz w:val="20"/>
          <w:szCs w:val="20"/>
        </w:rPr>
      </w:pPr>
      <w:r>
        <w:rPr>
          <w:rFonts w:hint="eastAsia"/>
          <w:sz w:val="20"/>
          <w:szCs w:val="20"/>
        </w:rPr>
        <w:t xml:space="preserve">W.r.t FG 26-3, 26-9, the two time relationships were missing such as </w:t>
      </w:r>
      <w:r>
        <w:rPr>
          <w:sz w:val="20"/>
          <w:szCs w:val="20"/>
        </w:rPr>
        <w:t>activation of T</w:t>
      </w:r>
      <w:r>
        <w:rPr>
          <w:sz w:val="20"/>
          <w:szCs w:val="20"/>
        </w:rPr>
        <w:t>A command, first PUSCH transmission in CG Type 2</w:t>
      </w:r>
      <w:r>
        <w:rPr>
          <w:rFonts w:hint="eastAsia"/>
          <w:sz w:val="20"/>
          <w:szCs w:val="20"/>
        </w:rPr>
        <w:t>. Thus, they are added in each block. In addition, for component 1 in FG 26-9, i</w:t>
      </w:r>
      <w:r>
        <w:rPr>
          <w:rFonts w:hint="eastAsia"/>
          <w:sz w:val="20"/>
          <w:szCs w:val="20"/>
        </w:rPr>
        <w:t>t</w:t>
      </w:r>
      <w:r>
        <w:rPr>
          <w:sz w:val="20"/>
          <w:szCs w:val="20"/>
        </w:rPr>
        <w:t>’</w:t>
      </w:r>
      <w:r>
        <w:rPr>
          <w:rFonts w:hint="eastAsia"/>
          <w:sz w:val="20"/>
          <w:szCs w:val="20"/>
        </w:rPr>
        <w:t xml:space="preserve">s preferred to add a bracket on to </w:t>
      </w:r>
      <w:r>
        <w:rPr>
          <w:rFonts w:hint="eastAsia"/>
          <w:color w:val="FF0000"/>
          <w:sz w:val="20"/>
          <w:szCs w:val="20"/>
        </w:rPr>
        <w:t>[</w:t>
      </w:r>
      <w:r>
        <w:rPr>
          <w:rFonts w:hint="eastAsia"/>
          <w:sz w:val="20"/>
          <w:szCs w:val="20"/>
          <w:lang w:val="en-GB"/>
        </w:rPr>
        <w:t>UE-specific K_offset</w:t>
      </w:r>
      <w:r>
        <w:rPr>
          <w:rFonts w:hint="eastAsia"/>
          <w:color w:val="FF0000"/>
          <w:sz w:val="20"/>
          <w:szCs w:val="20"/>
        </w:rPr>
        <w:t>]</w:t>
      </w:r>
      <w:r>
        <w:rPr>
          <w:rFonts w:hint="eastAsia"/>
          <w:sz w:val="20"/>
          <w:szCs w:val="20"/>
        </w:rPr>
        <w:t>, consi</w:t>
      </w:r>
      <w:r>
        <w:rPr>
          <w:rFonts w:hint="eastAsia"/>
          <w:sz w:val="20"/>
          <w:szCs w:val="20"/>
        </w:rPr>
        <w:t>dering the solution of updating K_offset is pending, e.g., U</w:t>
      </w:r>
      <w:r>
        <w:rPr>
          <w:rFonts w:hint="eastAsia"/>
          <w:sz w:val="20"/>
          <w:szCs w:val="20"/>
        </w:rPr>
        <w:t xml:space="preserve">E </w:t>
      </w:r>
      <w:r>
        <w:rPr>
          <w:rFonts w:hint="eastAsia"/>
          <w:sz w:val="20"/>
          <w:szCs w:val="20"/>
        </w:rPr>
        <w:t>may receive adjustment of K_offset if MAC CE indicates the differential value.</w:t>
      </w:r>
    </w:p>
    <w:p w:rsidR="00676D93" w:rsidRDefault="00DD5754">
      <w:pPr>
        <w:adjustRightInd w:val="0"/>
        <w:snapToGrid w:val="0"/>
        <w:spacing w:beforeLines="50" w:before="156" w:afterLines="50" w:after="156"/>
        <w:rPr>
          <w:sz w:val="20"/>
          <w:szCs w:val="20"/>
        </w:rPr>
      </w:pPr>
      <w:r>
        <w:rPr>
          <w:rFonts w:hint="eastAsia"/>
          <w:sz w:val="20"/>
          <w:szCs w:val="20"/>
        </w:rPr>
        <w:t>For FG 26-4, the component 3 can be updated with the latest agreement [2], i.e. The granularity of the reported TA is slot. FFS how to round TA value to slot level granularity.</w:t>
      </w:r>
    </w:p>
    <w:p w:rsidR="00676D93" w:rsidRDefault="00DD5754">
      <w:pPr>
        <w:adjustRightInd w:val="0"/>
        <w:snapToGrid w:val="0"/>
        <w:spacing w:beforeLines="50" w:before="156" w:afterLines="50" w:after="156"/>
        <w:rPr>
          <w:sz w:val="20"/>
          <w:szCs w:val="20"/>
        </w:rPr>
      </w:pPr>
      <w:r>
        <w:rPr>
          <w:sz w:val="20"/>
          <w:szCs w:val="20"/>
        </w:rPr>
        <w:t xml:space="preserve">In conclusion, the updates on UE features for NR-NTN can be found in </w:t>
      </w:r>
      <w:r>
        <w:rPr>
          <w:sz w:val="20"/>
          <w:szCs w:val="20"/>
        </w:rPr>
        <w:fldChar w:fldCharType="begin"/>
      </w:r>
      <w:r>
        <w:rPr>
          <w:sz w:val="20"/>
          <w:szCs w:val="20"/>
        </w:rPr>
        <w:instrText xml:space="preserve"> REF _Ref8373 \h  \* MERGEFORMAT </w:instrText>
      </w:r>
      <w:r>
        <w:rPr>
          <w:sz w:val="20"/>
          <w:szCs w:val="20"/>
        </w:rPr>
      </w:r>
      <w:r>
        <w:rPr>
          <w:sz w:val="20"/>
          <w:szCs w:val="20"/>
        </w:rPr>
        <w:fldChar w:fldCharType="separate"/>
      </w:r>
      <w:r>
        <w:rPr>
          <w:sz w:val="20"/>
          <w:szCs w:val="20"/>
        </w:rPr>
        <w:t>Table 1</w:t>
      </w:r>
      <w:r>
        <w:rPr>
          <w:sz w:val="20"/>
          <w:szCs w:val="20"/>
        </w:rPr>
        <w:fldChar w:fldCharType="end"/>
      </w:r>
      <w:r>
        <w:rPr>
          <w:sz w:val="20"/>
          <w:szCs w:val="20"/>
        </w:rPr>
        <w:t>.</w:t>
      </w:r>
    </w:p>
    <w:p w:rsidR="00676D93" w:rsidRDefault="00DD5754">
      <w:pPr>
        <w:adjustRightInd w:val="0"/>
        <w:snapToGrid w:val="0"/>
        <w:spacing w:beforeLines="50" w:before="156" w:afterLines="50" w:after="156"/>
        <w:rPr>
          <w:i/>
          <w:iCs/>
          <w:sz w:val="20"/>
          <w:szCs w:val="20"/>
        </w:rPr>
      </w:pPr>
      <w:r>
        <w:rPr>
          <w:rFonts w:hint="eastAsia"/>
          <w:b/>
          <w:bCs/>
          <w:i/>
          <w:iCs/>
          <w:sz w:val="20"/>
          <w:szCs w:val="20"/>
        </w:rPr>
        <w:t>Proposal-1:</w:t>
      </w:r>
      <w:r>
        <w:rPr>
          <w:rFonts w:hint="eastAsia"/>
          <w:sz w:val="20"/>
          <w:szCs w:val="20"/>
        </w:rPr>
        <w:t xml:space="preserve"> </w:t>
      </w:r>
      <w:r>
        <w:rPr>
          <w:rFonts w:hint="eastAsia"/>
          <w:i/>
          <w:iCs/>
          <w:sz w:val="20"/>
          <w:szCs w:val="20"/>
        </w:rPr>
        <w:t xml:space="preserve">The updates on the UE features for </w:t>
      </w:r>
      <w:r>
        <w:rPr>
          <w:i/>
          <w:iCs/>
          <w:sz w:val="20"/>
          <w:szCs w:val="20"/>
        </w:rPr>
        <w:t>NR</w:t>
      </w:r>
      <w:r>
        <w:rPr>
          <w:rFonts w:hint="eastAsia"/>
          <w:i/>
          <w:iCs/>
          <w:sz w:val="20"/>
          <w:szCs w:val="20"/>
        </w:rPr>
        <w:t>-NTN listed in Table-1 should be s</w:t>
      </w:r>
      <w:r>
        <w:rPr>
          <w:rFonts w:hint="eastAsia"/>
          <w:i/>
          <w:iCs/>
          <w:sz w:val="20"/>
          <w:szCs w:val="20"/>
        </w:rPr>
        <w:t xml:space="preserve">upported. </w:t>
      </w:r>
    </w:p>
    <w:p w:rsidR="00676D93" w:rsidRDefault="00676D93">
      <w:pPr>
        <w:adjustRightInd w:val="0"/>
        <w:snapToGrid w:val="0"/>
        <w:spacing w:beforeLines="50" w:before="156" w:afterLines="50" w:after="156"/>
        <w:rPr>
          <w:i/>
          <w:iCs/>
          <w:sz w:val="20"/>
          <w:szCs w:val="20"/>
        </w:rPr>
      </w:pPr>
    </w:p>
    <w:p w:rsidR="00676D93" w:rsidRDefault="00DD5754">
      <w:pPr>
        <w:pStyle w:val="a3"/>
        <w:adjustRightInd w:val="0"/>
        <w:snapToGrid w:val="0"/>
        <w:spacing w:beforeLines="50" w:before="156" w:afterLines="50" w:after="156"/>
        <w:jc w:val="center"/>
        <w:sectPr w:rsidR="00676D93">
          <w:headerReference w:type="default" r:id="rId9"/>
          <w:footerReference w:type="even" r:id="rId10"/>
          <w:footerReference w:type="default" r:id="rId11"/>
          <w:pgSz w:w="11906" w:h="16838"/>
          <w:pgMar w:top="1440" w:right="1800" w:bottom="1440" w:left="1800" w:header="851" w:footer="992" w:gutter="0"/>
          <w:cols w:space="720"/>
          <w:docGrid w:type="lines" w:linePitch="312"/>
        </w:sectPr>
      </w:pPr>
      <w:bookmarkStart w:id="6" w:name="_Ref83902757"/>
      <w:bookmarkStart w:id="7" w:name="_Ref8373"/>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6"/>
      <w:r>
        <w:rPr>
          <w:rFonts w:ascii="Times New Roman" w:hAnsi="Times New Roman" w:cs="Times New Roman"/>
        </w:rPr>
        <w:t xml:space="preserve"> UE fea</w:t>
      </w:r>
      <w:r>
        <w:rPr>
          <w:rFonts w:hint="eastAsia"/>
        </w:rPr>
        <w:t xml:space="preserve">tures for </w:t>
      </w:r>
      <w:r>
        <w:t>NR</w:t>
      </w:r>
      <w:r>
        <w:rPr>
          <w:rFonts w:hint="eastAsia"/>
        </w:rPr>
        <w:t>-NTN</w:t>
      </w:r>
      <w:bookmarkEnd w:id="7"/>
    </w:p>
    <w:tbl>
      <w:tblPr>
        <w:tblW w:w="21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1417"/>
        <w:gridCol w:w="1276"/>
        <w:gridCol w:w="992"/>
        <w:gridCol w:w="993"/>
        <w:gridCol w:w="989"/>
        <w:gridCol w:w="2696"/>
        <w:gridCol w:w="1276"/>
      </w:tblGrid>
      <w:tr w:rsidR="00676D93">
        <w:trPr>
          <w:trHeight w:val="20"/>
        </w:trPr>
        <w:tc>
          <w:tcPr>
            <w:tcW w:w="1130"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for the</w:t>
            </w:r>
            <w:r>
              <w:rPr>
                <w:rFonts w:ascii="Arial" w:eastAsia="Times New Roman" w:hAnsi="Arial" w:cs="Arial"/>
                <w:b/>
                <w:color w:val="000000"/>
                <w:sz w:val="18"/>
                <w:szCs w:val="18"/>
                <w:lang w:val="en-GB" w:eastAsia="ja-JP"/>
              </w:rPr>
              <w:t xml:space="preserve"> gNB to know if the feature is supported</w:t>
            </w:r>
          </w:p>
        </w:tc>
        <w:tc>
          <w:tcPr>
            <w:tcW w:w="1417"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b/>
                <w:color w:val="000000"/>
                <w:sz w:val="18"/>
                <w:szCs w:val="18"/>
                <w:lang w:val="en-GB" w:eastAsia="ja-JP"/>
              </w:rPr>
            </w:pPr>
            <w:r>
              <w:rPr>
                <w:rFonts w:ascii="Arial" w:hAnsi="Arial" w:cs="Arial"/>
                <w:b/>
                <w:color w:val="000000"/>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b/>
                <w:color w:val="000000"/>
                <w:sz w:val="18"/>
                <w:szCs w:val="18"/>
                <w:lang w:val="en-GB" w:eastAsia="ja-JP"/>
              </w:rPr>
            </w:pPr>
            <w:r>
              <w:rPr>
                <w:rFonts w:ascii="Arial" w:hAnsi="Arial" w:cs="Arial"/>
                <w:b/>
                <w:color w:val="000000"/>
                <w:sz w:val="18"/>
                <w:szCs w:val="18"/>
                <w:lang w:val="en-GB" w:eastAsia="ja-JP"/>
              </w:rPr>
              <w:t>Type</w:t>
            </w:r>
          </w:p>
          <w:p w:rsidR="00676D93" w:rsidRDefault="00DD5754">
            <w:pPr>
              <w:keepNext/>
              <w:keepLines/>
              <w:rPr>
                <w:rFonts w:ascii="Arial" w:hAnsi="Arial" w:cs="Arial"/>
                <w:b/>
                <w:color w:val="000000"/>
                <w:sz w:val="18"/>
                <w:szCs w:val="18"/>
                <w:lang w:val="en-GB" w:eastAsia="ja-JP"/>
              </w:rPr>
            </w:pPr>
            <w:r>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FDD</w:t>
            </w:r>
            <w:r>
              <w:rPr>
                <w:rFonts w:ascii="Arial" w:eastAsia="Times New Roman" w:hAnsi="Arial" w:cs="Arial"/>
                <w:b/>
                <w:color w:val="000000"/>
                <w:sz w:val="18"/>
                <w:szCs w:val="18"/>
                <w:lang w:val="en-GB" w:eastAsia="ja-JP"/>
              </w:rPr>
              <w:t>/TDD differentiation</w:t>
            </w:r>
          </w:p>
        </w:tc>
        <w:tc>
          <w:tcPr>
            <w:tcW w:w="993"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tcPr>
          <w:p w:rsidR="00676D93" w:rsidRDefault="00DD5754">
            <w:pPr>
              <w:keepNext/>
              <w:keepLines/>
              <w:overflowPunct w:val="0"/>
              <w:autoSpaceDE w:val="0"/>
              <w:autoSpaceDN w:val="0"/>
              <w:adjustRightInd w:val="0"/>
              <w:jc w:val="center"/>
              <w:textAlignment w:val="baseline"/>
              <w:rPr>
                <w:rFonts w:ascii="Arial" w:eastAsia="Times New Roman" w:hAnsi="Arial" w:cs="Arial"/>
                <w:b/>
                <w:color w:val="000000"/>
                <w:sz w:val="18"/>
                <w:szCs w:val="18"/>
                <w:lang w:val="en-GB" w:eastAsia="ja-JP"/>
              </w:rPr>
            </w:pPr>
            <w:r>
              <w:rPr>
                <w:rFonts w:ascii="Arial" w:eastAsia="Times New Roman" w:hAnsi="Arial" w:cs="Arial"/>
                <w:b/>
                <w:color w:val="000000"/>
                <w:sz w:val="18"/>
                <w:szCs w:val="18"/>
                <w:lang w:val="en-GB" w:eastAsia="ja-JP"/>
              </w:rPr>
              <w:t>Mandatory/Optional</w:t>
            </w:r>
          </w:p>
        </w:tc>
      </w:tr>
      <w:tr w:rsidR="00676D93">
        <w:trPr>
          <w:trHeight w:val="20"/>
        </w:trPr>
        <w:tc>
          <w:tcPr>
            <w:tcW w:w="1130"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ja-JP"/>
              </w:rPr>
              <w:t xml:space="preserve"> 26.</w:t>
            </w:r>
            <w:r>
              <w:rPr>
                <w:rFonts w:ascii="Arial" w:hAnsi="Arial" w:cs="Arial"/>
                <w:color w:val="000000"/>
                <w:sz w:val="18"/>
                <w:szCs w:val="18"/>
                <w:lang w:val="en-GB" w:eastAsia="en-US"/>
              </w:rPr>
              <w:t xml:space="preserve"> </w:t>
            </w:r>
            <w:r>
              <w:rPr>
                <w:rFonts w:ascii="Arial"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ja-JP"/>
              </w:rPr>
              <w:t>26-1</w:t>
            </w:r>
          </w:p>
        </w:tc>
        <w:tc>
          <w:tcPr>
            <w:tcW w:w="1559"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Uplink Time pre-compensation</w:t>
            </w:r>
          </w:p>
        </w:tc>
        <w:tc>
          <w:tcPr>
            <w:tcW w:w="6371" w:type="dxa"/>
            <w:tcBorders>
              <w:top w:val="single" w:sz="4" w:space="0" w:color="auto"/>
              <w:left w:val="single" w:sz="4" w:space="0" w:color="auto"/>
              <w:bottom w:val="single" w:sz="4" w:space="0" w:color="auto"/>
              <w:right w:val="single" w:sz="4" w:space="0" w:color="auto"/>
            </w:tcBorders>
          </w:tcPr>
          <w:p w:rsidR="00676D93" w:rsidRDefault="00DD5754">
            <w:pPr>
              <w:numPr>
                <w:ilvl w:val="0"/>
                <w:numId w:val="5"/>
              </w:numPr>
              <w:spacing w:afterLines="50" w:after="156"/>
              <w:ind w:left="1080"/>
              <w:contextualSpacing/>
              <w:rPr>
                <w:rFonts w:ascii="Arial" w:hAnsi="Arial" w:cs="Arial"/>
                <w:color w:val="000000"/>
                <w:sz w:val="18"/>
                <w:szCs w:val="18"/>
                <w:lang w:val="en-GB"/>
              </w:rPr>
            </w:pPr>
            <w:r>
              <w:rPr>
                <w:rFonts w:ascii="Arial" w:eastAsia="MS Gothic" w:hAnsi="Arial" w:cs="Arial"/>
                <w:color w:val="000000"/>
                <w:sz w:val="18"/>
                <w:szCs w:val="18"/>
                <w:lang w:val="en-GB" w:eastAsia="ja-JP"/>
              </w:rPr>
              <w:t xml:space="preserve">UE specific TA calculation in RRC_IDLE and RRC_INACTIVE </w:t>
            </w:r>
            <w:r>
              <w:rPr>
                <w:rFonts w:ascii="Arial" w:eastAsia="MS Gothic" w:hAnsi="Arial" w:cs="Arial"/>
                <w:color w:val="000000"/>
                <w:sz w:val="18"/>
                <w:szCs w:val="18"/>
                <w:lang w:val="en-GB" w:eastAsia="ja-JP"/>
              </w:rPr>
              <w:t>states based on its GNSS-acquired position and the serving satellite ephemeris.</w:t>
            </w:r>
          </w:p>
          <w:p w:rsidR="00676D93" w:rsidRDefault="00DD5754">
            <w:pPr>
              <w:numPr>
                <w:ilvl w:val="0"/>
                <w:numId w:val="5"/>
              </w:numPr>
              <w:ind w:left="1080"/>
              <w:contextualSpacing/>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UE specific TA calculation in RRC_CONNECTED state based on its GNSS-acquired position and the serving satellite ephemeris.</w:t>
            </w:r>
          </w:p>
          <w:p w:rsidR="00676D93" w:rsidRDefault="00DD5754">
            <w:pPr>
              <w:numPr>
                <w:ilvl w:val="0"/>
                <w:numId w:val="5"/>
              </w:numPr>
              <w:ind w:left="1080"/>
              <w:contextualSpacing/>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UE applies common TA according to the parameters </w:t>
            </w:r>
            <w:r>
              <w:rPr>
                <w:rFonts w:ascii="Arial" w:eastAsia="MS Gothic" w:hAnsi="Arial" w:cs="Arial"/>
                <w:color w:val="000000"/>
                <w:sz w:val="18"/>
                <w:szCs w:val="18"/>
                <w:lang w:val="en-GB" w:eastAsia="ja-JP"/>
              </w:rPr>
              <w:t>provided by the networ</w:t>
            </w:r>
            <w:r>
              <w:rPr>
                <w:rFonts w:ascii="Arial" w:eastAsia="MS Gothic" w:hAnsi="Arial" w:cs="Arial"/>
                <w:color w:val="000000"/>
                <w:sz w:val="18"/>
                <w:szCs w:val="18"/>
                <w:lang w:val="en-GB" w:eastAsia="ja-JP"/>
              </w:rPr>
              <w:t>k</w:t>
            </w:r>
            <w:r>
              <w:rPr>
                <w:rFonts w:ascii="Arial" w:eastAsia="MS Gothic" w:hAnsi="Arial" w:cs="Arial"/>
                <w:strike/>
                <w:color w:val="FF0000"/>
                <w:sz w:val="18"/>
                <w:szCs w:val="18"/>
                <w:lang w:val="en-GB" w:eastAsia="ja-JP"/>
              </w:rPr>
              <w:t xml:space="preserve"> (if any)</w:t>
            </w:r>
            <w:r>
              <w:rPr>
                <w:rFonts w:ascii="Arial" w:hAnsi="Arial" w:cs="Arial" w:hint="eastAsia"/>
                <w:color w:val="FF0000"/>
                <w:sz w:val="18"/>
                <w:szCs w:val="18"/>
              </w:rPr>
              <w:t xml:space="preserve"> </w:t>
            </w:r>
            <w:r>
              <w:rPr>
                <w:rFonts w:ascii="Arial" w:eastAsia="MS Gothic" w:hAnsi="Arial" w:cs="Arial" w:hint="eastAsia"/>
                <w:color w:val="FF0000"/>
                <w:sz w:val="18"/>
                <w:szCs w:val="18"/>
                <w:lang w:val="en-GB" w:eastAsia="ja-JP"/>
              </w:rPr>
              <w:t>(U</w:t>
            </w:r>
            <w:r>
              <w:rPr>
                <w:rFonts w:ascii="Arial" w:eastAsia="MS Gothic" w:hAnsi="Arial" w:cs="Arial" w:hint="eastAsia"/>
                <w:color w:val="FF0000"/>
                <w:sz w:val="18"/>
                <w:szCs w:val="18"/>
                <w:lang w:val="en-GB" w:eastAsia="ja-JP"/>
              </w:rPr>
              <w:t xml:space="preserve">E considers common TA as 0 if the parameter is not provided). </w:t>
            </w:r>
          </w:p>
          <w:p w:rsidR="00676D93" w:rsidRDefault="00DD5754">
            <w:pPr>
              <w:numPr>
                <w:ilvl w:val="0"/>
                <w:numId w:val="5"/>
              </w:numPr>
              <w:ind w:left="1080"/>
              <w:contextualSpacing/>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 xml:space="preserve">For TA update in RRC_CONNECTED state, combination of both open (i.e. UE autonomous TA estimation, and common TA estimation) and closed (i.e., received TA </w:t>
            </w:r>
            <w:r>
              <w:rPr>
                <w:rFonts w:ascii="Arial" w:eastAsia="MS Gothic" w:hAnsi="Arial" w:cs="Arial"/>
                <w:color w:val="000000"/>
                <w:sz w:val="18"/>
                <w:szCs w:val="18"/>
                <w:lang w:val="en-GB" w:eastAsia="ja-JP"/>
              </w:rPr>
              <w:t>commands) control loops</w:t>
            </w:r>
          </w:p>
          <w:p w:rsidR="00676D93" w:rsidRDefault="00DD5754">
            <w:pPr>
              <w:numPr>
                <w:ilvl w:val="0"/>
                <w:numId w:val="5"/>
              </w:numPr>
              <w:ind w:left="1080"/>
              <w:contextualSpacing/>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FFS: UE (re)acquire the serving satellite ephemeris and common TA upon the expiration of the corresponding validity timer</w:t>
            </w:r>
            <w:r>
              <w:rPr>
                <w:rFonts w:ascii="Arial" w:hAnsi="Arial" w:cs="Arial" w:hint="eastAsia"/>
                <w:color w:val="000000"/>
                <w:sz w:val="18"/>
                <w:szCs w:val="18"/>
              </w:rPr>
              <w:t>.</w:t>
            </w:r>
          </w:p>
          <w:p w:rsidR="00676D93" w:rsidRDefault="00DD5754">
            <w:pPr>
              <w:ind w:leftChars="485" w:left="1018"/>
              <w:contextualSpacing/>
              <w:rPr>
                <w:rFonts w:ascii="Arial" w:eastAsia="MS Gothic" w:hAnsi="Arial" w:cs="Arial"/>
                <w:color w:val="FF0000"/>
                <w:sz w:val="18"/>
                <w:szCs w:val="18"/>
              </w:rPr>
            </w:pPr>
            <w:r>
              <w:rPr>
                <w:rFonts w:ascii="Arial" w:eastAsia="MS Gothic" w:hAnsi="Arial" w:cs="Arial" w:hint="eastAsia"/>
                <w:color w:val="FF0000"/>
                <w:sz w:val="18"/>
                <w:szCs w:val="18"/>
              </w:rPr>
              <w:t xml:space="preserve">A UE </w:t>
            </w:r>
            <w:r w:rsidRPr="004F42E1">
              <w:rPr>
                <w:rFonts w:ascii="Arial" w:eastAsia="MS Gothic" w:hAnsi="Arial" w:cs="Arial" w:hint="eastAsia"/>
                <w:color w:val="FF0000"/>
                <w:sz w:val="18"/>
                <w:szCs w:val="18"/>
                <w:lang w:val="en-GB" w:eastAsia="ja-JP"/>
              </w:rPr>
              <w:t>start</w:t>
            </w:r>
            <w:r>
              <w:rPr>
                <w:rFonts w:ascii="Arial" w:eastAsia="MS Gothic" w:hAnsi="Arial" w:cs="Arial" w:hint="eastAsia"/>
                <w:color w:val="FF0000"/>
                <w:sz w:val="18"/>
                <w:szCs w:val="18"/>
              </w:rPr>
              <w:t>s</w:t>
            </w:r>
            <w:r w:rsidRPr="004F42E1">
              <w:rPr>
                <w:rFonts w:ascii="Arial" w:eastAsia="MS Gothic" w:hAnsi="Arial" w:cs="Arial" w:hint="eastAsia"/>
                <w:color w:val="FF0000"/>
                <w:sz w:val="18"/>
                <w:szCs w:val="18"/>
                <w:lang w:val="en-GB" w:eastAsia="ja-JP"/>
              </w:rPr>
              <w:t>/restart</w:t>
            </w:r>
            <w:r>
              <w:rPr>
                <w:rFonts w:ascii="Arial" w:eastAsia="MS Gothic" w:hAnsi="Arial" w:cs="Arial" w:hint="eastAsia"/>
                <w:color w:val="FF0000"/>
                <w:sz w:val="18"/>
                <w:szCs w:val="18"/>
              </w:rPr>
              <w:t>s</w:t>
            </w:r>
            <w:r w:rsidRPr="004F42E1">
              <w:rPr>
                <w:rFonts w:ascii="Arial" w:eastAsia="MS Gothic" w:hAnsi="Arial" w:cs="Arial" w:hint="eastAsia"/>
                <w:color w:val="FF0000"/>
                <w:sz w:val="18"/>
                <w:szCs w:val="18"/>
                <w:lang w:val="en-GB" w:eastAsia="ja-JP"/>
              </w:rPr>
              <w:t xml:space="preserve"> the </w:t>
            </w:r>
            <w:r>
              <w:rPr>
                <w:rFonts w:ascii="Arial" w:eastAsia="MS Gothic" w:hAnsi="Arial" w:cs="Arial" w:hint="eastAsia"/>
                <w:color w:val="FF0000"/>
                <w:sz w:val="18"/>
                <w:szCs w:val="18"/>
              </w:rPr>
              <w:t xml:space="preserve">validity </w:t>
            </w:r>
            <w:r w:rsidRPr="004F42E1">
              <w:rPr>
                <w:rFonts w:ascii="Arial" w:eastAsia="MS Gothic" w:hAnsi="Arial" w:cs="Arial" w:hint="eastAsia"/>
                <w:color w:val="FF0000"/>
                <w:sz w:val="18"/>
                <w:szCs w:val="18"/>
                <w:lang w:val="en-GB" w:eastAsia="ja-JP"/>
              </w:rPr>
              <w:t>time</w:t>
            </w:r>
            <w:r>
              <w:rPr>
                <w:rFonts w:ascii="Arial" w:eastAsia="MS Gothic" w:hAnsi="Arial" w:cs="Arial" w:hint="eastAsia"/>
                <w:color w:val="FF0000"/>
                <w:sz w:val="18"/>
                <w:szCs w:val="18"/>
              </w:rPr>
              <w:t>r at the</w:t>
            </w:r>
            <w:r w:rsidRPr="004F42E1">
              <w:rPr>
                <w:rFonts w:ascii="Arial" w:eastAsia="MS Gothic" w:hAnsi="Arial" w:cs="Arial" w:hint="eastAsia"/>
                <w:color w:val="FF0000"/>
                <w:sz w:val="18"/>
                <w:szCs w:val="18"/>
                <w:lang w:val="en-GB" w:eastAsia="ja-JP"/>
              </w:rPr>
              <w:t xml:space="preserve"> epoch time </w:t>
            </w:r>
            <w:r>
              <w:rPr>
                <w:rFonts w:ascii="Arial" w:eastAsia="MS Gothic" w:hAnsi="Arial" w:cs="Arial" w:hint="eastAsia"/>
                <w:color w:val="FF0000"/>
                <w:sz w:val="18"/>
                <w:szCs w:val="18"/>
              </w:rPr>
              <w:t>of the serving satellite ephemeris and common TA.</w:t>
            </w:r>
          </w:p>
          <w:p w:rsidR="00676D93" w:rsidRDefault="00676D93">
            <w:pPr>
              <w:ind w:leftChars="400" w:left="840"/>
              <w:contextualSpacing/>
              <w:rPr>
                <w:rFonts w:ascii="Arial" w:eastAsia="MS Gothic" w:hAnsi="Arial" w:cs="Arial"/>
                <w:color w:val="000000"/>
                <w:sz w:val="18"/>
                <w:szCs w:val="18"/>
                <w:highlight w:val="cyan"/>
                <w:lang w:val="en-GB" w:eastAsia="ja-JP"/>
              </w:rPr>
            </w:pPr>
          </w:p>
        </w:tc>
        <w:tc>
          <w:tcPr>
            <w:tcW w:w="1277" w:type="dxa"/>
            <w:tcBorders>
              <w:top w:val="single" w:sz="4" w:space="0" w:color="auto"/>
              <w:left w:val="single" w:sz="4" w:space="0" w:color="auto"/>
              <w:bottom w:val="single" w:sz="4" w:space="0" w:color="auto"/>
              <w:right w:val="single" w:sz="4" w:space="0" w:color="auto"/>
            </w:tcBorders>
          </w:tcPr>
          <w:p w:rsidR="00676D93" w:rsidRDefault="00676D93">
            <w:pPr>
              <w:keepNext/>
              <w:keepLines/>
              <w:rPr>
                <w:rFonts w:ascii="Arial" w:eastAsia="MS Mincho" w:hAnsi="Arial" w:cs="Arial"/>
                <w:color w:val="000000"/>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No</w:t>
            </w:r>
          </w:p>
        </w:tc>
        <w:tc>
          <w:tcPr>
            <w:tcW w:w="1417"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rPr>
            </w:pPr>
            <w:r>
              <w:rPr>
                <w:rFonts w:ascii="Arial" w:hAnsi="Arial" w:cs="Arial"/>
                <w:color w:val="000000"/>
                <w:sz w:val="18"/>
                <w:szCs w:val="18"/>
              </w:rPr>
              <w:t xml:space="preserve">Release 17 UE cannot access </w:t>
            </w:r>
            <w:r>
              <w:rPr>
                <w:rFonts w:ascii="Arial" w:hAnsi="Arial" w:cs="Arial"/>
                <w:color w:val="000000"/>
                <w:sz w:val="18"/>
                <w:szCs w:val="18"/>
                <w:highlight w:val="yellow"/>
                <w:lang w:val="en-GB"/>
              </w:rPr>
              <w:t>[NTN/ satellite/HAPS/ATG]</w:t>
            </w:r>
          </w:p>
        </w:tc>
        <w:tc>
          <w:tcPr>
            <w:tcW w:w="1276"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rPr>
            </w:pPr>
            <w:r>
              <w:rPr>
                <w:rFonts w:ascii="Arial" w:hAnsi="Arial" w:cs="Arial"/>
                <w:color w:val="000000"/>
                <w:sz w:val="18"/>
                <w:szCs w:val="18"/>
                <w:highlight w:val="yellow"/>
                <w:lang w:val="en-GB" w:eastAsia="ja-JP"/>
              </w:rPr>
              <w:t>[Per UE/per band]</w:t>
            </w:r>
          </w:p>
        </w:tc>
        <w:tc>
          <w:tcPr>
            <w:tcW w:w="992"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highlight w:val="yellow"/>
                <w:lang w:val="en-GB" w:eastAsia="ja-JP"/>
              </w:rPr>
            </w:pPr>
            <w:r>
              <w:rPr>
                <w:rFonts w:ascii="Arial"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 xml:space="preserve">An NTN UE is required to at least support UE specific TA calculation based at least on its GNSS-acquired </w:t>
            </w:r>
            <w:r>
              <w:rPr>
                <w:rFonts w:ascii="Arial" w:hAnsi="Arial" w:cs="Arial"/>
                <w:color w:val="000000"/>
                <w:sz w:val="18"/>
                <w:szCs w:val="18"/>
                <w:lang w:val="en-GB" w:eastAsia="en-US"/>
              </w:rPr>
              <w:t>position and the serving satellite ephemeris</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highlight w:val="yellow"/>
                <w:lang w:val="en-GB" w:eastAsia="en-US"/>
              </w:rPr>
            </w:pPr>
            <w:r>
              <w:rPr>
                <w:rFonts w:ascii="Arial" w:hAnsi="Arial" w:cs="Arial"/>
                <w:color w:val="000000"/>
                <w:sz w:val="18"/>
                <w:szCs w:val="18"/>
                <w:highlight w:val="yellow"/>
                <w:lang w:val="en-GB" w:eastAsia="en-US"/>
              </w:rPr>
              <w:t>[Note: Serving satellite ephemeris Epoch time is implicitly known as a reference time defined by the starting time of a DL slot and/or frame]</w:t>
            </w:r>
          </w:p>
          <w:p w:rsidR="00676D93" w:rsidRDefault="00676D93">
            <w:pPr>
              <w:keepNext/>
              <w:keepLines/>
              <w:rPr>
                <w:rFonts w:ascii="Arial" w:hAnsi="Arial" w:cs="Arial"/>
                <w:color w:val="000000"/>
                <w:sz w:val="18"/>
                <w:szCs w:val="18"/>
                <w:highlight w:val="yellow"/>
                <w:lang w:val="en-GB" w:eastAsia="en-US"/>
              </w:rPr>
            </w:pPr>
          </w:p>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 xml:space="preserve">FFS: Whether this starting time is given by predefined rule or it </w:t>
            </w:r>
            <w:r>
              <w:rPr>
                <w:rFonts w:ascii="Arial" w:hAnsi="Arial" w:cs="Arial"/>
                <w:color w:val="000000"/>
                <w:sz w:val="18"/>
                <w:szCs w:val="18"/>
                <w:highlight w:val="yellow"/>
                <w:lang w:val="en-GB" w:eastAsia="en-US"/>
              </w:rPr>
              <w:t>is indicated by the Network</w:t>
            </w:r>
          </w:p>
        </w:tc>
        <w:tc>
          <w:tcPr>
            <w:tcW w:w="1276" w:type="dxa"/>
            <w:tcBorders>
              <w:top w:val="single" w:sz="4" w:space="0" w:color="auto"/>
              <w:left w:val="single" w:sz="4" w:space="0" w:color="auto"/>
              <w:bottom w:val="single" w:sz="4" w:space="0" w:color="auto"/>
              <w:right w:val="single" w:sz="4" w:space="0" w:color="auto"/>
            </w:tcBorders>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 xml:space="preserve">Optional with capability signalling </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 xml:space="preserve">For UE supports NR </w:t>
            </w:r>
            <w:r>
              <w:rPr>
                <w:rFonts w:ascii="Arial" w:hAnsi="Arial" w:cs="Arial"/>
                <w:color w:val="000000"/>
                <w:sz w:val="18"/>
                <w:szCs w:val="18"/>
                <w:highlight w:val="yellow"/>
                <w:lang w:val="en-GB" w:eastAsia="en-US"/>
              </w:rPr>
              <w:t>[NTN/ satellite/HAPS/ATG]</w:t>
            </w:r>
            <w:r>
              <w:rPr>
                <w:rFonts w:ascii="Arial" w:hAnsi="Arial" w:cs="Arial"/>
                <w:color w:val="000000"/>
                <w:sz w:val="18"/>
                <w:szCs w:val="18"/>
                <w:lang w:val="en-GB" w:eastAsia="en-US"/>
              </w:rPr>
              <w:t>, UE must indicate this FG is supported.</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highlight w:val="yellow"/>
                <w:lang w:val="en-GB" w:eastAsia="en-US"/>
              </w:rPr>
              <w:t xml:space="preserve">[Note: This UE feature group is applicable only for NR NTN cell, for terrestrial cell this feature is </w:t>
            </w:r>
            <w:r>
              <w:rPr>
                <w:rFonts w:ascii="Arial" w:hAnsi="Arial" w:cs="Arial"/>
                <w:color w:val="000000"/>
                <w:sz w:val="18"/>
                <w:szCs w:val="18"/>
                <w:highlight w:val="yellow"/>
                <w:lang w:val="en-GB" w:eastAsia="en-US"/>
              </w:rPr>
              <w:t>not supported]</w:t>
            </w:r>
          </w:p>
        </w:tc>
      </w:tr>
      <w:tr w:rsidR="00676D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ja-JP"/>
              </w:rPr>
              <w:lastRenderedPageBreak/>
              <w:t xml:space="preserve"> 26.</w:t>
            </w:r>
            <w:r>
              <w:rPr>
                <w:rFonts w:ascii="Arial" w:hAnsi="Arial" w:cs="Arial"/>
                <w:color w:val="000000"/>
                <w:sz w:val="18"/>
                <w:szCs w:val="18"/>
                <w:lang w:val="en-GB" w:eastAsia="en-US"/>
              </w:rPr>
              <w:t xml:space="preserve"> </w:t>
            </w:r>
            <w:r>
              <w:rPr>
                <w:rFonts w:ascii="Arial"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numPr>
                <w:ilvl w:val="0"/>
                <w:numId w:val="6"/>
              </w:numPr>
              <w:rPr>
                <w:rFonts w:ascii="Arial" w:hAnsi="Arial" w:cs="Arial"/>
                <w:color w:val="000000"/>
                <w:sz w:val="18"/>
                <w:szCs w:val="18"/>
                <w:lang w:val="en-GB"/>
              </w:rPr>
            </w:pPr>
            <w:r>
              <w:rPr>
                <w:rFonts w:ascii="Arial" w:hAnsi="Arial" w:cs="Arial"/>
                <w:color w:val="000000"/>
                <w:sz w:val="18"/>
                <w:szCs w:val="18"/>
                <w:lang w:val="en-GB"/>
              </w:rPr>
              <w:t>estimate of UE-gNB RTT</w:t>
            </w:r>
          </w:p>
          <w:p w:rsidR="00676D93" w:rsidRDefault="00DD5754">
            <w:pPr>
              <w:keepNext/>
              <w:keepLines/>
              <w:numPr>
                <w:ilvl w:val="0"/>
                <w:numId w:val="6"/>
              </w:numPr>
              <w:rPr>
                <w:rFonts w:ascii="Arial" w:hAnsi="Arial" w:cs="Arial"/>
                <w:color w:val="000000"/>
                <w:sz w:val="18"/>
                <w:szCs w:val="18"/>
                <w:lang w:val="en-GB"/>
              </w:rPr>
            </w:pPr>
            <w:r>
              <w:rPr>
                <w:rFonts w:ascii="Arial" w:hAnsi="Arial" w:cs="Arial"/>
                <w:color w:val="000000"/>
                <w:sz w:val="18"/>
                <w:szCs w:val="18"/>
                <w:lang w:val="en-GB"/>
              </w:rPr>
              <w:t xml:space="preserve">delaying the start of ra-ResponseWindow </w:t>
            </w:r>
            <w:r>
              <w:rPr>
                <w:rFonts w:ascii="Arial" w:hAnsi="Arial" w:cs="Arial"/>
                <w:color w:val="000000"/>
                <w:sz w:val="18"/>
                <w:szCs w:val="18"/>
                <w:highlight w:val="yellow"/>
                <w:lang w:val="en-GB"/>
              </w:rPr>
              <w:t>[by UE-gNB RTT]</w:t>
            </w:r>
          </w:p>
          <w:p w:rsidR="00676D93" w:rsidRDefault="00DD5754">
            <w:pPr>
              <w:keepNext/>
              <w:keepLines/>
              <w:numPr>
                <w:ilvl w:val="0"/>
                <w:numId w:val="6"/>
              </w:numPr>
              <w:rPr>
                <w:rFonts w:ascii="Arial" w:hAnsi="Arial" w:cs="Arial"/>
                <w:color w:val="000000"/>
                <w:sz w:val="18"/>
                <w:szCs w:val="18"/>
                <w:lang w:val="en-GB"/>
              </w:rPr>
            </w:pPr>
            <w:r>
              <w:rPr>
                <w:rFonts w:ascii="Arial" w:hAnsi="Arial" w:cs="Arial"/>
                <w:color w:val="000000"/>
                <w:sz w:val="18"/>
                <w:szCs w:val="18"/>
                <w:lang w:val="en-GB"/>
              </w:rPr>
              <w:t xml:space="preserve">delaying the start of msgB-ResponseWindow </w:t>
            </w:r>
            <w:r>
              <w:rPr>
                <w:rFonts w:ascii="Arial" w:hAnsi="Arial" w:cs="Arial"/>
                <w:color w:val="000000"/>
                <w:sz w:val="18"/>
                <w:szCs w:val="18"/>
                <w:highlight w:val="yellow"/>
                <w:lang w:val="en-GB"/>
              </w:rPr>
              <w:t>[by UE-gNB RTT]</w:t>
            </w:r>
          </w:p>
          <w:p w:rsidR="00676D93" w:rsidRDefault="00DD5754">
            <w:pPr>
              <w:keepNext/>
              <w:keepLines/>
              <w:numPr>
                <w:ilvl w:val="0"/>
                <w:numId w:val="6"/>
              </w:numPr>
              <w:rPr>
                <w:rFonts w:ascii="Arial" w:hAnsi="Arial" w:cs="Arial"/>
                <w:color w:val="000000"/>
                <w:sz w:val="18"/>
                <w:szCs w:val="18"/>
                <w:highlight w:val="yellow"/>
                <w:lang w:val="en-GB"/>
              </w:rPr>
            </w:pPr>
            <w:r>
              <w:rPr>
                <w:rFonts w:ascii="Arial" w:hAnsi="Arial" w:cs="Arial"/>
                <w:sz w:val="18"/>
                <w:szCs w:val="18"/>
                <w:highlight w:val="yellow"/>
                <w:lang w:val="en-GB"/>
              </w:rPr>
              <w:t>FFS: d</w:t>
            </w:r>
            <w:r>
              <w:rPr>
                <w:rFonts w:ascii="Arial" w:hAnsi="Arial" w:cs="Arial"/>
                <w:color w:val="000000"/>
                <w:sz w:val="18"/>
                <w:szCs w:val="18"/>
                <w:highlight w:val="yellow"/>
                <w:lang w:val="en-GB"/>
              </w:rPr>
              <w:t xml:space="preserve">elaying the scheduling of </w:t>
            </w:r>
            <w:r>
              <w:rPr>
                <w:rFonts w:ascii="Arial" w:hAnsi="Arial" w:cs="Arial"/>
                <w:color w:val="000000"/>
                <w:sz w:val="18"/>
                <w:szCs w:val="18"/>
                <w:highlight w:val="yellow"/>
                <w:lang w:val="en-GB"/>
              </w:rPr>
              <w:t>PUSCH, PUCCH and PDCCH ordered PRACH, CSI reference resource, transmission of aperiodic SRS</w:t>
            </w:r>
            <w:r>
              <w:rPr>
                <w:rFonts w:ascii="Arial" w:hAnsi="Arial" w:cs="Arial" w:hint="eastAsia"/>
                <w:color w:val="000000"/>
                <w:sz w:val="18"/>
                <w:szCs w:val="18"/>
                <w:highlight w:val="yellow"/>
              </w:rPr>
              <w:t xml:space="preserve">, </w:t>
            </w:r>
            <w:r>
              <w:rPr>
                <w:rFonts w:ascii="Arial" w:hAnsi="Arial" w:cs="Arial" w:hint="eastAsia"/>
                <w:color w:val="FF0000"/>
                <w:sz w:val="18"/>
                <w:szCs w:val="18"/>
                <w:highlight w:val="yellow"/>
              </w:rPr>
              <w:t>activation of TA command, first PUSCH transmission in CG Type 2</w:t>
            </w:r>
            <w:r>
              <w:rPr>
                <w:rFonts w:ascii="Arial" w:hAnsi="Arial" w:cs="Arial"/>
                <w:color w:val="000000"/>
                <w:sz w:val="18"/>
                <w:szCs w:val="18"/>
                <w:highlight w:val="yellow"/>
                <w:lang w:val="en-GB"/>
              </w:rPr>
              <w:t xml:space="preserve"> with cell-specific K_offset</w:t>
            </w:r>
          </w:p>
          <w:p w:rsidR="00676D93" w:rsidRDefault="00676D93">
            <w:pPr>
              <w:keepNext/>
              <w:keepLines/>
              <w:numPr>
                <w:ilvl w:val="255"/>
                <w:numId w:val="0"/>
              </w:numPr>
              <w:ind w:left="360"/>
              <w:rPr>
                <w:rFonts w:ascii="Arial" w:hAnsi="Arial" w:cs="Arial"/>
                <w:color w:val="FF0000"/>
                <w:sz w:val="18"/>
                <w:szCs w:val="18"/>
              </w:rPr>
            </w:pPr>
          </w:p>
          <w:p w:rsidR="00676D93" w:rsidRDefault="00DD5754">
            <w:pPr>
              <w:keepNext/>
              <w:keepLines/>
              <w:numPr>
                <w:ilvl w:val="0"/>
                <w:numId w:val="6"/>
              </w:numPr>
              <w:rPr>
                <w:rFonts w:ascii="Arial" w:hAnsi="Arial" w:cs="Arial"/>
                <w:color w:val="000000"/>
                <w:sz w:val="18"/>
                <w:szCs w:val="18"/>
                <w:highlight w:val="yellow"/>
                <w:lang w:val="en-GB"/>
              </w:rPr>
            </w:pPr>
            <w:r>
              <w:rPr>
                <w:rFonts w:ascii="Arial" w:hAnsi="Arial" w:cs="Arial"/>
                <w:color w:val="000000"/>
                <w:sz w:val="18"/>
                <w:szCs w:val="18"/>
                <w:highlight w:val="yellow"/>
                <w:lang w:val="en-GB"/>
              </w:rPr>
              <w:t>FFS: delaying the UE action and assumption on a downlink configuration</w:t>
            </w:r>
            <w:r>
              <w:rPr>
                <w:rFonts w:ascii="Arial" w:hAnsi="Arial" w:cs="Arial"/>
                <w:color w:val="000000"/>
                <w:sz w:val="18"/>
                <w:szCs w:val="18"/>
                <w:highlight w:val="yellow"/>
                <w:lang w:val="en-GB"/>
              </w:rPr>
              <w:t xml:space="preserve"> carried by MAC CE command by K_mac if it is indicated</w:t>
            </w:r>
          </w:p>
          <w:p w:rsidR="00676D93" w:rsidRDefault="00DD5754">
            <w:pPr>
              <w:keepNext/>
              <w:keepLines/>
              <w:numPr>
                <w:ilvl w:val="0"/>
                <w:numId w:val="6"/>
              </w:numPr>
              <w:rPr>
                <w:rFonts w:ascii="Arial" w:hAnsi="Arial" w:cs="Arial"/>
                <w:color w:val="000000"/>
                <w:sz w:val="18"/>
                <w:szCs w:val="18"/>
                <w:lang w:val="en-GB"/>
              </w:rPr>
            </w:pPr>
            <w:r>
              <w:rPr>
                <w:rFonts w:ascii="Arial" w:hAnsi="Arial" w:cs="Arial"/>
                <w:color w:val="000000"/>
                <w:sz w:val="18"/>
                <w:szCs w:val="18"/>
                <w:highlight w:val="yellow"/>
                <w:lang w:val="en-GB"/>
              </w:rPr>
              <w:t>FFS: separate FGs for cell specific Koffset and Kmac/UE-gNB RTT estimation/delay of RAR/MsgB response window</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Release 17 UE cannot access [NTN/ satellite/HAPS/ATG]</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FFS: whether this FG gets merged with FG 26-1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 xml:space="preserve">Optional with capability signalling </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For UE supports NR [NTN/ satellite/HAPS/ATG], UE must indicate this FG is supported</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[Note: This UE fea</w:t>
            </w:r>
            <w:r>
              <w:rPr>
                <w:rFonts w:ascii="Arial" w:hAnsi="Arial" w:cs="Arial"/>
                <w:color w:val="000000"/>
                <w:sz w:val="18"/>
                <w:szCs w:val="18"/>
                <w:highlight w:val="yellow"/>
                <w:lang w:val="en-GB" w:eastAsia="en-US"/>
              </w:rPr>
              <w:t>ture group is applicable only for NR NTN cell, for terrestrial cell this feature is not supported]</w:t>
            </w:r>
          </w:p>
        </w:tc>
      </w:tr>
      <w:tr w:rsidR="00676D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ja-JP"/>
              </w:rPr>
              <w:lastRenderedPageBreak/>
              <w:t xml:space="preserve"> 26.</w:t>
            </w:r>
            <w:r>
              <w:rPr>
                <w:rFonts w:ascii="Arial" w:hAnsi="Arial" w:cs="Arial"/>
                <w:color w:val="000000"/>
                <w:sz w:val="18"/>
                <w:szCs w:val="18"/>
                <w:lang w:val="en-GB" w:eastAsia="en-US"/>
              </w:rPr>
              <w:t xml:space="preserve"> </w:t>
            </w:r>
            <w:r>
              <w:rPr>
                <w:rFonts w:ascii="Arial" w:hAnsi="Arial" w:cs="Arial"/>
                <w:color w:val="000000"/>
                <w:sz w:val="18"/>
                <w:szCs w:val="18"/>
                <w:lang w:val="en-GB" w:eastAsia="ja-JP"/>
              </w:rPr>
              <w:t>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numPr>
                <w:ilvl w:val="0"/>
                <w:numId w:val="7"/>
              </w:numPr>
              <w:rPr>
                <w:rFonts w:ascii="Arial" w:hAnsi="Arial" w:cs="Arial"/>
                <w:color w:val="000000"/>
                <w:sz w:val="18"/>
                <w:szCs w:val="18"/>
                <w:highlight w:val="yellow"/>
                <w:lang w:val="en-GB"/>
              </w:rPr>
            </w:pPr>
            <w:r>
              <w:rPr>
                <w:rFonts w:ascii="Arial" w:hAnsi="Arial" w:cs="Arial"/>
                <w:color w:val="000000"/>
                <w:sz w:val="18"/>
                <w:szCs w:val="18"/>
                <w:highlight w:val="yellow"/>
                <w:lang w:val="en-GB"/>
              </w:rPr>
              <w:t>[The exact content of UE reporting of information about the</w:t>
            </w:r>
            <w:r>
              <w:rPr>
                <w:rFonts w:ascii="Arial" w:hAnsi="Arial" w:cs="Arial"/>
                <w:color w:val="000000"/>
                <w:sz w:val="18"/>
                <w:szCs w:val="18"/>
                <w:highlight w:val="yellow"/>
                <w:lang w:val="en-GB"/>
              </w:rPr>
              <w:t xml:space="preserve"> UE specific TA pre-compensation]</w:t>
            </w:r>
          </w:p>
          <w:p w:rsidR="00676D93" w:rsidRDefault="00DD5754">
            <w:pPr>
              <w:keepNext/>
              <w:keepLines/>
              <w:numPr>
                <w:ilvl w:val="0"/>
                <w:numId w:val="7"/>
              </w:numPr>
              <w:rPr>
                <w:rFonts w:ascii="Arial" w:hAnsi="Arial" w:cs="Arial"/>
                <w:color w:val="000000"/>
                <w:sz w:val="18"/>
                <w:szCs w:val="18"/>
                <w:highlight w:val="yellow"/>
                <w:lang w:val="en-GB"/>
              </w:rPr>
            </w:pPr>
            <w:r>
              <w:rPr>
                <w:rFonts w:ascii="Arial" w:hAnsi="Arial" w:cs="Arial"/>
                <w:color w:val="000000"/>
                <w:sz w:val="18"/>
                <w:szCs w:val="18"/>
                <w:highlight w:val="yellow"/>
                <w:lang w:val="en-GB"/>
              </w:rPr>
              <w:t>FFS: frequency of the reports</w:t>
            </w:r>
          </w:p>
          <w:p w:rsidR="00676D93" w:rsidRDefault="00DD5754">
            <w:pPr>
              <w:keepNext/>
              <w:keepLines/>
              <w:numPr>
                <w:ilvl w:val="0"/>
                <w:numId w:val="7"/>
              </w:numPr>
              <w:rPr>
                <w:rFonts w:ascii="Arial" w:hAnsi="Arial" w:cs="Arial"/>
                <w:color w:val="FF0000"/>
                <w:sz w:val="18"/>
                <w:szCs w:val="18"/>
                <w:lang w:val="en-GB"/>
              </w:rPr>
            </w:pPr>
            <w:r>
              <w:rPr>
                <w:rFonts w:ascii="Arial" w:hAnsi="Arial" w:cs="Arial"/>
                <w:strike/>
                <w:color w:val="000000"/>
                <w:sz w:val="18"/>
                <w:szCs w:val="18"/>
                <w:highlight w:val="yellow"/>
                <w:lang w:val="en-GB"/>
              </w:rPr>
              <w:t>FFS: granularity of the reported content</w:t>
            </w:r>
            <w:r>
              <w:rPr>
                <w:rFonts w:ascii="Arial" w:hAnsi="Arial" w:cs="Arial"/>
                <w:color w:val="FF0000"/>
                <w:sz w:val="18"/>
                <w:szCs w:val="18"/>
                <w:lang w:val="en-GB"/>
              </w:rPr>
              <w:t>The granularity of the reported TA is slot.</w:t>
            </w:r>
            <w:r>
              <w:rPr>
                <w:rFonts w:ascii="Arial" w:hAnsi="Arial" w:cs="Arial" w:hint="eastAsia"/>
                <w:color w:val="FF0000"/>
                <w:sz w:val="18"/>
                <w:szCs w:val="18"/>
              </w:rPr>
              <w:t xml:space="preserve"> </w:t>
            </w:r>
          </w:p>
          <w:p w:rsidR="00676D93" w:rsidRDefault="00DD5754">
            <w:pPr>
              <w:keepNext/>
              <w:keepLines/>
              <w:ind w:firstLineChars="200" w:firstLine="360"/>
              <w:rPr>
                <w:rFonts w:ascii="Arial" w:hAnsi="Arial" w:cs="Arial"/>
                <w:color w:val="FF0000"/>
                <w:sz w:val="18"/>
                <w:szCs w:val="18"/>
                <w:lang w:val="en-GB"/>
              </w:rPr>
            </w:pPr>
            <w:r>
              <w:rPr>
                <w:rFonts w:ascii="Arial" w:hAnsi="Arial" w:cs="Arial"/>
                <w:color w:val="FF0000"/>
                <w:sz w:val="18"/>
                <w:szCs w:val="18"/>
                <w:lang w:val="en-GB"/>
              </w:rPr>
              <w:t>FFS how to round TA value to slot level granularity</w:t>
            </w:r>
          </w:p>
          <w:p w:rsidR="00676D93" w:rsidRDefault="00676D93">
            <w:pPr>
              <w:keepNext/>
              <w:keepLines/>
              <w:rPr>
                <w:rFonts w:ascii="Arial" w:hAnsi="Arial" w:cs="Arial"/>
                <w:color w:val="000000"/>
                <w:sz w:val="18"/>
                <w:szCs w:val="18"/>
                <w:highlight w:val="yellow"/>
                <w:lang w:val="en-GB"/>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highlight w:val="yellow"/>
                <w:lang w:val="en-GB" w:eastAsia="ja-JP"/>
              </w:rPr>
              <w:t>[26-1][26-2]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76D93" w:rsidRDefault="00676D93">
            <w:pPr>
              <w:keepNext/>
              <w:keepLines/>
              <w:rPr>
                <w:rFonts w:ascii="Arial"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highlight w:val="yellow"/>
                <w:lang w:val="en-GB" w:eastAsia="ja-JP"/>
              </w:rPr>
              <w:t>[Per UE/Per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highlight w:val="yellow"/>
                <w:lang w:val="en-GB" w:eastAsia="en-US"/>
              </w:rPr>
            </w:pPr>
            <w:r>
              <w:rPr>
                <w:rFonts w:ascii="Arial" w:hAnsi="Arial" w:cs="Arial"/>
                <w:color w:val="000000"/>
                <w:sz w:val="18"/>
                <w:szCs w:val="18"/>
                <w:highlight w:val="yellow"/>
                <w:lang w:val="en-GB" w:eastAsia="en-US"/>
              </w:rPr>
              <w:t>[support mixture of FDD/TDD (for HAPS and/or ATG)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highlight w:val="yellow"/>
                <w:lang w:val="en-GB" w:eastAsia="en-US"/>
              </w:rPr>
            </w:pPr>
            <w:r>
              <w:rPr>
                <w:rFonts w:ascii="Arial" w:hAnsi="Arial" w:cs="Arial"/>
                <w:color w:val="000000"/>
                <w:sz w:val="18"/>
                <w:szCs w:val="18"/>
                <w:highlight w:val="yellow"/>
                <w:lang w:val="en-GB" w:eastAsia="en-US"/>
              </w:rPr>
              <w:t>FFS: whether this FG gets merged with FG 26-1 if the note “For UE supports NR [NTN/ satellite/HAPS/ATG], UE must indicate this FG is 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Optionalwith capa</w:t>
            </w:r>
            <w:r>
              <w:rPr>
                <w:rFonts w:ascii="Arial" w:hAnsi="Arial" w:cs="Arial"/>
                <w:color w:val="000000"/>
                <w:sz w:val="18"/>
                <w:szCs w:val="18"/>
                <w:lang w:val="en-GB" w:eastAsia="en-US"/>
              </w:rPr>
              <w:t xml:space="preserve">bility signalling </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highlight w:val="yellow"/>
                <w:lang w:val="en-GB" w:eastAsia="en-US"/>
              </w:rPr>
            </w:pPr>
            <w:r>
              <w:rPr>
                <w:rFonts w:ascii="Arial" w:hAnsi="Arial" w:cs="Arial"/>
                <w:color w:val="000000"/>
                <w:sz w:val="18"/>
                <w:szCs w:val="18"/>
                <w:highlight w:val="yellow"/>
                <w:lang w:val="en-GB" w:eastAsia="en-US"/>
              </w:rPr>
              <w:t>[For UE supports NR [NTN/ satellite/HAPS/ATG], UE must indicate this FG is supported]</w:t>
            </w:r>
          </w:p>
          <w:p w:rsidR="00676D93" w:rsidRDefault="00676D93">
            <w:pPr>
              <w:keepNext/>
              <w:keepLines/>
              <w:rPr>
                <w:rFonts w:ascii="Arial" w:hAnsi="Arial" w:cs="Arial"/>
                <w:color w:val="000000"/>
                <w:sz w:val="18"/>
                <w:szCs w:val="18"/>
                <w:highlight w:val="yellow"/>
                <w:lang w:val="en-GB" w:eastAsia="en-US"/>
              </w:rPr>
            </w:pPr>
          </w:p>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[Note: This UE feature group is applicable only for NR NTN cell, for terrestrial cell this feature is not supported]</w:t>
            </w:r>
          </w:p>
        </w:tc>
      </w:tr>
      <w:tr w:rsidR="00676D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en-US"/>
              </w:rPr>
              <w:lastRenderedPageBreak/>
              <w:t xml:space="preserve"> 26. NR_NTN_solutions</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en-US"/>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eastAsia="en-US"/>
              </w:rPr>
              <w:t xml:space="preserve">UE-specific K_offset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numPr>
                <w:ilvl w:val="0"/>
                <w:numId w:val="8"/>
              </w:numPr>
              <w:spacing w:afterLines="50" w:after="156"/>
              <w:contextualSpacing/>
              <w:rPr>
                <w:rFonts w:ascii="Arial" w:eastAsia="MS Gothic" w:hAnsi="Arial" w:cs="Arial"/>
                <w:color w:val="000000"/>
                <w:sz w:val="18"/>
                <w:szCs w:val="18"/>
                <w:lang w:val="en-GB" w:eastAsia="ja-JP"/>
              </w:rPr>
            </w:pPr>
            <w:r>
              <w:rPr>
                <w:rFonts w:ascii="Arial" w:eastAsia="MS Gothic" w:hAnsi="Arial" w:cs="Arial"/>
                <w:color w:val="000000"/>
                <w:sz w:val="18"/>
                <w:szCs w:val="18"/>
                <w:lang w:val="en-GB"/>
              </w:rPr>
              <w:t>Reception o</w:t>
            </w:r>
            <w:r>
              <w:rPr>
                <w:rFonts w:ascii="Arial" w:eastAsia="MS Gothic" w:hAnsi="Arial" w:cs="Arial"/>
                <w:color w:val="000000"/>
                <w:sz w:val="18"/>
                <w:szCs w:val="18"/>
                <w:lang w:val="en-GB"/>
              </w:rPr>
              <w:t>f</w:t>
            </w:r>
            <w:r>
              <w:rPr>
                <w:rFonts w:ascii="Arial" w:eastAsia="MS Gothic" w:hAnsi="Arial" w:cs="Arial"/>
                <w:color w:val="FF0000"/>
                <w:sz w:val="18"/>
                <w:szCs w:val="18"/>
                <w:lang w:val="en-GB"/>
              </w:rPr>
              <w:t xml:space="preserve"> </w:t>
            </w:r>
            <w:r>
              <w:rPr>
                <w:rFonts w:ascii="Arial" w:eastAsia="MS Gothic" w:hAnsi="Arial" w:cs="Arial" w:hint="eastAsia"/>
                <w:color w:val="FF0000"/>
                <w:sz w:val="18"/>
                <w:szCs w:val="18"/>
              </w:rPr>
              <w:t>[</w:t>
            </w:r>
            <w:r>
              <w:rPr>
                <w:rFonts w:ascii="Arial" w:eastAsia="MS Gothic" w:hAnsi="Arial" w:cs="Arial"/>
                <w:color w:val="000000"/>
                <w:sz w:val="18"/>
                <w:szCs w:val="18"/>
                <w:lang w:val="en-GB"/>
              </w:rPr>
              <w:t>UE-specific K_offset</w:t>
            </w:r>
            <w:r>
              <w:rPr>
                <w:rFonts w:ascii="Arial" w:eastAsia="MS Gothic" w:hAnsi="Arial" w:cs="Arial" w:hint="eastAsia"/>
                <w:color w:val="FF0000"/>
                <w:sz w:val="18"/>
                <w:szCs w:val="18"/>
              </w:rPr>
              <w:t>]</w:t>
            </w:r>
            <w:r>
              <w:rPr>
                <w:rFonts w:ascii="Arial" w:eastAsia="MS Gothic" w:hAnsi="Arial" w:cs="Arial"/>
                <w:color w:val="000000"/>
                <w:sz w:val="18"/>
                <w:szCs w:val="18"/>
                <w:lang w:val="en-GB"/>
              </w:rPr>
              <w:t xml:space="preserve"> via</w:t>
            </w:r>
            <w:r>
              <w:rPr>
                <w:rFonts w:ascii="Arial" w:eastAsia="MS Gothic" w:hAnsi="Arial" w:cs="Arial"/>
                <w:color w:val="000000"/>
                <w:sz w:val="18"/>
                <w:szCs w:val="18"/>
                <w:lang w:val="en-GB"/>
              </w:rPr>
              <w:t xml:space="preserve"> MAC-CE</w:t>
            </w:r>
          </w:p>
          <w:p w:rsidR="00676D93" w:rsidRDefault="00DD5754">
            <w:pPr>
              <w:numPr>
                <w:ilvl w:val="0"/>
                <w:numId w:val="9"/>
              </w:numPr>
              <w:spacing w:afterLines="50" w:after="156"/>
              <w:contextualSpacing/>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delaying the scheduling of PUSCH, PUCCH and PDCCH ordered PRACH, CSI reference resource, transmission of aperiodic SRS</w:t>
            </w:r>
            <w:r>
              <w:rPr>
                <w:rFonts w:ascii="Arial" w:hAnsi="Arial" w:cs="Arial" w:hint="eastAsia"/>
                <w:color w:val="000000"/>
                <w:sz w:val="18"/>
                <w:szCs w:val="18"/>
              </w:rPr>
              <w:t xml:space="preserve">, </w:t>
            </w:r>
            <w:r>
              <w:rPr>
                <w:rFonts w:ascii="Arial" w:hAnsi="Arial" w:cs="Arial" w:hint="eastAsia"/>
                <w:color w:val="FF0000"/>
                <w:sz w:val="18"/>
                <w:szCs w:val="18"/>
              </w:rPr>
              <w:t>activation of TA command, first PUSCH transmission in CG Type 2</w:t>
            </w:r>
            <w:r>
              <w:rPr>
                <w:rFonts w:ascii="Arial" w:hAnsi="Arial" w:cs="Arial" w:hint="eastAsia"/>
                <w:color w:val="000000"/>
                <w:sz w:val="18"/>
                <w:szCs w:val="18"/>
              </w:rPr>
              <w:t xml:space="preserve"> </w:t>
            </w:r>
            <w:r>
              <w:rPr>
                <w:rFonts w:ascii="Arial" w:eastAsia="MS Gothic" w:hAnsi="Arial" w:cs="Arial"/>
                <w:color w:val="000000"/>
                <w:sz w:val="18"/>
                <w:szCs w:val="18"/>
                <w:lang w:val="en-GB" w:eastAsia="ja-JP"/>
              </w:rPr>
              <w:t>with UE-specific Koffset</w:t>
            </w:r>
            <w:r>
              <w:rPr>
                <w:rFonts w:ascii="Arial" w:hAnsi="Arial" w:cs="Arial" w:hint="eastAsia"/>
                <w:color w:val="000000"/>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lang w:val="en-GB" w:eastAsia="en-US"/>
              </w:rPr>
              <w:t>26-3,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rPr>
            </w:pPr>
            <w:r>
              <w:rPr>
                <w:rFonts w:ascii="Arial" w:hAnsi="Arial" w:cs="Arial"/>
                <w:color w:val="000000"/>
                <w:sz w:val="18"/>
                <w:szCs w:val="18"/>
                <w:lang w:val="en-GB"/>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76D93" w:rsidRDefault="00676D93">
            <w:pPr>
              <w:keepNext/>
              <w:keepLines/>
              <w:rPr>
                <w:rFonts w:ascii="Arial" w:hAnsi="Arial" w:cs="Arial"/>
                <w:color w:val="00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ja-JP"/>
              </w:rPr>
            </w:pPr>
            <w:r>
              <w:rPr>
                <w:rFonts w:ascii="Arial" w:hAnsi="Arial" w:cs="Arial"/>
                <w:color w:val="000000"/>
                <w:sz w:val="18"/>
                <w:szCs w:val="18"/>
                <w:highlight w:val="yellow"/>
                <w:lang w:val="en-GB"/>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[support mixture of FDD/TDD (for HAPS and/or ATG) and/or FR1/FR2]</w:t>
            </w:r>
            <w:r>
              <w:rPr>
                <w:rFonts w:ascii="Arial" w:hAnsi="Arial" w:cs="Arial"/>
                <w:color w:val="000000"/>
                <w:sz w:val="18"/>
                <w:szCs w:val="18"/>
                <w:lang w:val="en-GB" w:eastAsia="en-US"/>
              </w:rPr>
              <w:t> </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 xml:space="preserve">FFS: whether this FG gets merged with FG 26-1 if the note “For UE supports NR [NTN/ satellite/HAPS/ATG], UE must indicate this FG is </w:t>
            </w:r>
            <w:r>
              <w:rPr>
                <w:rFonts w:ascii="Arial" w:hAnsi="Arial" w:cs="Arial"/>
                <w:color w:val="000000"/>
                <w:sz w:val="18"/>
                <w:szCs w:val="18"/>
                <w:highlight w:val="yellow"/>
                <w:lang w:val="en-GB" w:eastAsia="en-US"/>
              </w:rPr>
              <w:t>supported” is confirmed in the positive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lang w:val="en-GB" w:eastAsia="en-US"/>
              </w:rPr>
              <w:t xml:space="preserve">Optional with capability signalling </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 xml:space="preserve">[For UE supports NR </w:t>
            </w:r>
            <w:r>
              <w:rPr>
                <w:rFonts w:ascii="Arial" w:hAnsi="Arial" w:cs="Arial"/>
                <w:color w:val="000000"/>
                <w:sz w:val="18"/>
                <w:szCs w:val="18"/>
                <w:highlight w:val="yellow"/>
              </w:rPr>
              <w:t>[NTN/ satellite/HAPS/ATG]</w:t>
            </w:r>
            <w:r>
              <w:rPr>
                <w:rFonts w:ascii="Arial" w:hAnsi="Arial" w:cs="Arial"/>
                <w:color w:val="000000"/>
                <w:sz w:val="18"/>
                <w:szCs w:val="18"/>
                <w:highlight w:val="yellow"/>
                <w:lang w:val="en-GB" w:eastAsia="en-US"/>
              </w:rPr>
              <w:t>, UE must indicate this FG is supported]</w:t>
            </w:r>
          </w:p>
          <w:p w:rsidR="00676D93" w:rsidRDefault="00676D93">
            <w:pPr>
              <w:keepNext/>
              <w:keepLines/>
              <w:rPr>
                <w:rFonts w:ascii="Arial" w:hAnsi="Arial" w:cs="Arial"/>
                <w:color w:val="000000"/>
                <w:sz w:val="18"/>
                <w:szCs w:val="18"/>
                <w:lang w:val="en-GB" w:eastAsia="en-US"/>
              </w:rPr>
            </w:pPr>
          </w:p>
          <w:p w:rsidR="00676D93" w:rsidRDefault="00DD5754">
            <w:pPr>
              <w:keepNext/>
              <w:keepLines/>
              <w:rPr>
                <w:rFonts w:ascii="Arial" w:hAnsi="Arial" w:cs="Arial"/>
                <w:color w:val="000000"/>
                <w:sz w:val="18"/>
                <w:szCs w:val="18"/>
                <w:lang w:val="en-GB" w:eastAsia="en-US"/>
              </w:rPr>
            </w:pPr>
            <w:r>
              <w:rPr>
                <w:rFonts w:ascii="Arial" w:hAnsi="Arial" w:cs="Arial"/>
                <w:color w:val="000000"/>
                <w:sz w:val="18"/>
                <w:szCs w:val="18"/>
                <w:highlight w:val="yellow"/>
                <w:lang w:val="en-GB" w:eastAsia="en-US"/>
              </w:rPr>
              <w:t xml:space="preserve">[Note: This UE feature group is applicable only for NR NTN cell, for terrestrial cell this </w:t>
            </w:r>
            <w:r>
              <w:rPr>
                <w:rFonts w:ascii="Arial" w:hAnsi="Arial" w:cs="Arial"/>
                <w:color w:val="000000"/>
                <w:sz w:val="18"/>
                <w:szCs w:val="18"/>
                <w:highlight w:val="yellow"/>
                <w:lang w:val="en-GB" w:eastAsia="en-US"/>
              </w:rPr>
              <w:t>feature is not supported]</w:t>
            </w:r>
          </w:p>
        </w:tc>
      </w:tr>
    </w:tbl>
    <w:p w:rsidR="00676D93" w:rsidRDefault="00676D93">
      <w:pPr>
        <w:adjustRightInd w:val="0"/>
        <w:snapToGrid w:val="0"/>
        <w:spacing w:beforeLines="50" w:before="156" w:afterLines="50" w:after="156"/>
        <w:rPr>
          <w:sz w:val="20"/>
          <w:szCs w:val="20"/>
        </w:rPr>
        <w:sectPr w:rsidR="00676D93">
          <w:pgSz w:w="23811" w:h="16838" w:orient="landscape"/>
          <w:pgMar w:top="1803" w:right="1440" w:bottom="1803" w:left="1440" w:header="851" w:footer="992" w:gutter="0"/>
          <w:cols w:space="0"/>
          <w:docGrid w:type="lines" w:linePitch="312"/>
        </w:sectPr>
      </w:pPr>
    </w:p>
    <w:p w:rsidR="00676D93" w:rsidRDefault="00DD5754">
      <w:pPr>
        <w:tabs>
          <w:tab w:val="left" w:pos="432"/>
          <w:tab w:val="left" w:pos="720"/>
          <w:tab w:val="left" w:pos="4827"/>
        </w:tabs>
        <w:autoSpaceDE w:val="0"/>
        <w:autoSpaceDN w:val="0"/>
        <w:adjustRightInd w:val="0"/>
        <w:spacing w:after="120"/>
        <w:outlineLvl w:val="0"/>
        <w:rPr>
          <w:sz w:val="22"/>
          <w:szCs w:val="22"/>
          <w:lang w:val="en-GB"/>
        </w:rPr>
      </w:pPr>
      <w:r>
        <w:rPr>
          <w:b/>
          <w:bCs/>
          <w:sz w:val="28"/>
          <w:szCs w:val="28"/>
          <w:lang w:val="en-GB" w:eastAsia="en-US"/>
        </w:rPr>
        <w:lastRenderedPageBreak/>
        <w:t>References</w:t>
      </w:r>
      <w:bookmarkEnd w:id="2"/>
      <w:bookmarkEnd w:id="3"/>
      <w:bookmarkEnd w:id="4"/>
    </w:p>
    <w:p w:rsidR="00676D93" w:rsidRDefault="00DD5754">
      <w:pPr>
        <w:pStyle w:val="ListParagraph1"/>
        <w:widowControl/>
        <w:numPr>
          <w:ilvl w:val="0"/>
          <w:numId w:val="10"/>
        </w:numPr>
        <w:jc w:val="left"/>
        <w:rPr>
          <w:sz w:val="20"/>
          <w:szCs w:val="20"/>
        </w:rPr>
      </w:pPr>
      <w:bookmarkStart w:id="8" w:name="_Ref40282619"/>
      <w:bookmarkStart w:id="9" w:name="_Ref54300673"/>
      <w:r>
        <w:rPr>
          <w:rFonts w:hint="eastAsia"/>
          <w:sz w:val="20"/>
          <w:szCs w:val="20"/>
          <w:lang w:eastAsia="en-US"/>
        </w:rPr>
        <w:t>R1-2110587 UE features list for Rel-17 NR</w:t>
      </w:r>
      <w:r>
        <w:rPr>
          <w:rFonts w:hint="eastAsia"/>
          <w:sz w:val="20"/>
          <w:szCs w:val="20"/>
        </w:rPr>
        <w:t>,</w:t>
      </w:r>
      <w:r>
        <w:rPr>
          <w:rFonts w:hint="eastAsia"/>
          <w:sz w:val="20"/>
          <w:szCs w:val="20"/>
        </w:rPr>
        <w:t xml:space="preserve"> AT&amp;T, NTT DOCOMO.</w:t>
      </w:r>
      <w:bookmarkEnd w:id="8"/>
      <w:bookmarkEnd w:id="9"/>
    </w:p>
    <w:p w:rsidR="00676D93" w:rsidRDefault="00DD5754">
      <w:pPr>
        <w:pStyle w:val="ListParagraph1"/>
        <w:widowControl/>
        <w:numPr>
          <w:ilvl w:val="0"/>
          <w:numId w:val="10"/>
        </w:numPr>
        <w:jc w:val="left"/>
        <w:rPr>
          <w:sz w:val="20"/>
          <w:szCs w:val="20"/>
        </w:rPr>
      </w:pPr>
      <w:r>
        <w:rPr>
          <w:rFonts w:hint="eastAsia"/>
          <w:sz w:val="20"/>
          <w:szCs w:val="20"/>
        </w:rPr>
        <w:t>Chair</w:t>
      </w:r>
      <w:r>
        <w:rPr>
          <w:sz w:val="20"/>
          <w:szCs w:val="20"/>
        </w:rPr>
        <w:t>’</w:t>
      </w:r>
      <w:r>
        <w:rPr>
          <w:rFonts w:hint="eastAsia"/>
          <w:sz w:val="20"/>
          <w:szCs w:val="20"/>
        </w:rPr>
        <w:t>s notes RAN1#106</w:t>
      </w:r>
      <w:r>
        <w:rPr>
          <w:rFonts w:hint="eastAsia"/>
          <w:sz w:val="20"/>
          <w:szCs w:val="20"/>
        </w:rPr>
        <w:t>b</w:t>
      </w:r>
      <w:r>
        <w:rPr>
          <w:rFonts w:hint="eastAsia"/>
          <w:sz w:val="20"/>
          <w:szCs w:val="20"/>
        </w:rPr>
        <w:t>-e final.</w:t>
      </w:r>
    </w:p>
    <w:sectPr w:rsidR="00676D9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754" w:rsidRDefault="00DD5754">
      <w:r>
        <w:separator/>
      </w:r>
    </w:p>
  </w:endnote>
  <w:endnote w:type="continuationSeparator" w:id="0">
    <w:p w:rsidR="00DD5754" w:rsidRDefault="00DD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D93" w:rsidRDefault="00DD5754">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676D93" w:rsidRDefault="00676D93">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D93" w:rsidRDefault="00DD5754">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4F42E1">
      <w:rPr>
        <w:rStyle w:val="ae"/>
        <w:noProof/>
      </w:rPr>
      <w:t>2</w:t>
    </w:r>
    <w:r>
      <w:rPr>
        <w:rStyle w:val="ae"/>
      </w:rPr>
      <w:fldChar w:fldCharType="end"/>
    </w:r>
    <w:r>
      <w:rPr>
        <w:rStyle w:val="ae"/>
        <w:rFonts w:hint="eastAsia"/>
      </w:rPr>
      <w:t>页</w:t>
    </w:r>
  </w:p>
  <w:p w:rsidR="00676D93" w:rsidRDefault="00DD5754">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754" w:rsidRDefault="00DD5754">
      <w:r>
        <w:separator/>
      </w:r>
    </w:p>
  </w:footnote>
  <w:footnote w:type="continuationSeparator" w:id="0">
    <w:p w:rsidR="00DD5754" w:rsidRDefault="00DD5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D93" w:rsidRDefault="00676D9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6C6428"/>
    <w:multiLevelType w:val="multilevel"/>
    <w:tmpl w:val="2C6C6428"/>
    <w:lvl w:ilvl="0">
      <w:start w:val="2"/>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AD47F2"/>
    <w:multiLevelType w:val="multilevel"/>
    <w:tmpl w:val="32AD47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6A87BC5"/>
    <w:multiLevelType w:val="multilevel"/>
    <w:tmpl w:val="36A87B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59F564FE"/>
    <w:multiLevelType w:val="multilevel"/>
    <w:tmpl w:val="59F564FE"/>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FFA5600"/>
    <w:multiLevelType w:val="multilevel"/>
    <w:tmpl w:val="5FFA560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8"/>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522B"/>
    <w:rsid w:val="00026B34"/>
    <w:rsid w:val="000271BA"/>
    <w:rsid w:val="000315D3"/>
    <w:rsid w:val="0003172D"/>
    <w:rsid w:val="00034CEB"/>
    <w:rsid w:val="00036D12"/>
    <w:rsid w:val="00036EA2"/>
    <w:rsid w:val="000370A1"/>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53E1"/>
    <w:rsid w:val="001D5833"/>
    <w:rsid w:val="001D734F"/>
    <w:rsid w:val="001E2CC4"/>
    <w:rsid w:val="001E318F"/>
    <w:rsid w:val="001E7D94"/>
    <w:rsid w:val="001F154F"/>
    <w:rsid w:val="001F1642"/>
    <w:rsid w:val="001F1BF5"/>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2CFA"/>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434D8"/>
    <w:rsid w:val="00344D56"/>
    <w:rsid w:val="00345584"/>
    <w:rsid w:val="00346225"/>
    <w:rsid w:val="00346C36"/>
    <w:rsid w:val="003504B5"/>
    <w:rsid w:val="00352E30"/>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85BB6"/>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59A"/>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0964"/>
    <w:rsid w:val="00481411"/>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F2953"/>
    <w:rsid w:val="004F42E1"/>
    <w:rsid w:val="004F7533"/>
    <w:rsid w:val="0051029C"/>
    <w:rsid w:val="00510763"/>
    <w:rsid w:val="0051579D"/>
    <w:rsid w:val="00516AEA"/>
    <w:rsid w:val="00517D45"/>
    <w:rsid w:val="00520C32"/>
    <w:rsid w:val="00522AD0"/>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5545"/>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93"/>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679"/>
    <w:rsid w:val="007204E0"/>
    <w:rsid w:val="00722B4F"/>
    <w:rsid w:val="00723955"/>
    <w:rsid w:val="007259B4"/>
    <w:rsid w:val="00725F30"/>
    <w:rsid w:val="00727ECE"/>
    <w:rsid w:val="007304E6"/>
    <w:rsid w:val="00732D39"/>
    <w:rsid w:val="00733A99"/>
    <w:rsid w:val="00737F28"/>
    <w:rsid w:val="007460B5"/>
    <w:rsid w:val="007462B3"/>
    <w:rsid w:val="00753713"/>
    <w:rsid w:val="00755089"/>
    <w:rsid w:val="0075782B"/>
    <w:rsid w:val="00757BF7"/>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4215"/>
    <w:rsid w:val="008D4B7E"/>
    <w:rsid w:val="008D4B86"/>
    <w:rsid w:val="008D5B08"/>
    <w:rsid w:val="008D7817"/>
    <w:rsid w:val="008E0B68"/>
    <w:rsid w:val="008E73BF"/>
    <w:rsid w:val="008F1A4A"/>
    <w:rsid w:val="008F320A"/>
    <w:rsid w:val="008F76F6"/>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3EEE"/>
    <w:rsid w:val="00954421"/>
    <w:rsid w:val="0095443C"/>
    <w:rsid w:val="0095499D"/>
    <w:rsid w:val="009569D6"/>
    <w:rsid w:val="00956EC5"/>
    <w:rsid w:val="00957C22"/>
    <w:rsid w:val="0096003B"/>
    <w:rsid w:val="00960466"/>
    <w:rsid w:val="009616AE"/>
    <w:rsid w:val="0096679F"/>
    <w:rsid w:val="00966D1C"/>
    <w:rsid w:val="00970079"/>
    <w:rsid w:val="0097011D"/>
    <w:rsid w:val="00971DDC"/>
    <w:rsid w:val="00980BA5"/>
    <w:rsid w:val="00981194"/>
    <w:rsid w:val="00985A8F"/>
    <w:rsid w:val="00985C6A"/>
    <w:rsid w:val="009903D3"/>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E1876"/>
    <w:rsid w:val="009E748B"/>
    <w:rsid w:val="009F0CFD"/>
    <w:rsid w:val="009F127C"/>
    <w:rsid w:val="009F7235"/>
    <w:rsid w:val="009F7BB7"/>
    <w:rsid w:val="00A00E16"/>
    <w:rsid w:val="00A03152"/>
    <w:rsid w:val="00A0525A"/>
    <w:rsid w:val="00A061D1"/>
    <w:rsid w:val="00A1157E"/>
    <w:rsid w:val="00A11699"/>
    <w:rsid w:val="00A13E53"/>
    <w:rsid w:val="00A14885"/>
    <w:rsid w:val="00A17A6F"/>
    <w:rsid w:val="00A17AE9"/>
    <w:rsid w:val="00A21DB5"/>
    <w:rsid w:val="00A22250"/>
    <w:rsid w:val="00A228FF"/>
    <w:rsid w:val="00A23372"/>
    <w:rsid w:val="00A24846"/>
    <w:rsid w:val="00A2612D"/>
    <w:rsid w:val="00A34D71"/>
    <w:rsid w:val="00A37EE1"/>
    <w:rsid w:val="00A40989"/>
    <w:rsid w:val="00A417EA"/>
    <w:rsid w:val="00A4227F"/>
    <w:rsid w:val="00A467F2"/>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7352"/>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6027"/>
    <w:rsid w:val="00B4017A"/>
    <w:rsid w:val="00B4209B"/>
    <w:rsid w:val="00B51597"/>
    <w:rsid w:val="00B5335E"/>
    <w:rsid w:val="00B6049D"/>
    <w:rsid w:val="00B605D2"/>
    <w:rsid w:val="00B62BFF"/>
    <w:rsid w:val="00B63AB8"/>
    <w:rsid w:val="00B64907"/>
    <w:rsid w:val="00B719BF"/>
    <w:rsid w:val="00B71A94"/>
    <w:rsid w:val="00B76BB1"/>
    <w:rsid w:val="00B80B2D"/>
    <w:rsid w:val="00B80BAC"/>
    <w:rsid w:val="00B84288"/>
    <w:rsid w:val="00B85716"/>
    <w:rsid w:val="00B86980"/>
    <w:rsid w:val="00B91207"/>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12D"/>
    <w:rsid w:val="00C31C9C"/>
    <w:rsid w:val="00C342E0"/>
    <w:rsid w:val="00C42B17"/>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B075B"/>
    <w:rsid w:val="00CB38DC"/>
    <w:rsid w:val="00CB518E"/>
    <w:rsid w:val="00CD195B"/>
    <w:rsid w:val="00CD245A"/>
    <w:rsid w:val="00CD29BD"/>
    <w:rsid w:val="00CD3BC6"/>
    <w:rsid w:val="00CD7693"/>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4B5F"/>
    <w:rsid w:val="00D97465"/>
    <w:rsid w:val="00DA0A67"/>
    <w:rsid w:val="00DA1193"/>
    <w:rsid w:val="00DA12AB"/>
    <w:rsid w:val="00DA1DE7"/>
    <w:rsid w:val="00DA29B2"/>
    <w:rsid w:val="00DA5448"/>
    <w:rsid w:val="00DA673C"/>
    <w:rsid w:val="00DA69FB"/>
    <w:rsid w:val="00DA70A3"/>
    <w:rsid w:val="00DA7453"/>
    <w:rsid w:val="00DB0F05"/>
    <w:rsid w:val="00DB4FCB"/>
    <w:rsid w:val="00DB5130"/>
    <w:rsid w:val="00DC10D6"/>
    <w:rsid w:val="00DC2631"/>
    <w:rsid w:val="00DC2E00"/>
    <w:rsid w:val="00DC37AC"/>
    <w:rsid w:val="00DC617D"/>
    <w:rsid w:val="00DD1CB8"/>
    <w:rsid w:val="00DD1EAA"/>
    <w:rsid w:val="00DD5754"/>
    <w:rsid w:val="00DD5F31"/>
    <w:rsid w:val="00DD69C6"/>
    <w:rsid w:val="00DD7DAC"/>
    <w:rsid w:val="00DE02A7"/>
    <w:rsid w:val="00DE0870"/>
    <w:rsid w:val="00DE138A"/>
    <w:rsid w:val="00DE4CCF"/>
    <w:rsid w:val="00DE7651"/>
    <w:rsid w:val="00DF04C5"/>
    <w:rsid w:val="00DF0CF2"/>
    <w:rsid w:val="00DF40DD"/>
    <w:rsid w:val="00E00132"/>
    <w:rsid w:val="00E01910"/>
    <w:rsid w:val="00E04D38"/>
    <w:rsid w:val="00E052C7"/>
    <w:rsid w:val="00E06774"/>
    <w:rsid w:val="00E118F9"/>
    <w:rsid w:val="00E15384"/>
    <w:rsid w:val="00E153F6"/>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3F5C"/>
    <w:rsid w:val="00EA4355"/>
    <w:rsid w:val="00EA680F"/>
    <w:rsid w:val="00EA7A18"/>
    <w:rsid w:val="00EB229E"/>
    <w:rsid w:val="00EB3FF5"/>
    <w:rsid w:val="00EB6663"/>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1033"/>
    <w:rsid w:val="00F814F2"/>
    <w:rsid w:val="00F820C8"/>
    <w:rsid w:val="00F901B0"/>
    <w:rsid w:val="00F907AA"/>
    <w:rsid w:val="00F9466C"/>
    <w:rsid w:val="00F94D66"/>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7948"/>
    <w:rsid w:val="00FE0681"/>
    <w:rsid w:val="00FE1515"/>
    <w:rsid w:val="00FE18C0"/>
    <w:rsid w:val="00FE557D"/>
    <w:rsid w:val="00FE7E9C"/>
    <w:rsid w:val="00FF0AAD"/>
    <w:rsid w:val="00FF5F2B"/>
    <w:rsid w:val="0108091E"/>
    <w:rsid w:val="01E6517A"/>
    <w:rsid w:val="022C1677"/>
    <w:rsid w:val="02683F31"/>
    <w:rsid w:val="02BD3998"/>
    <w:rsid w:val="02EC5B5D"/>
    <w:rsid w:val="02F76428"/>
    <w:rsid w:val="03134A3A"/>
    <w:rsid w:val="035B0A68"/>
    <w:rsid w:val="0384788C"/>
    <w:rsid w:val="03B43C8E"/>
    <w:rsid w:val="041B0245"/>
    <w:rsid w:val="04494E33"/>
    <w:rsid w:val="04A93482"/>
    <w:rsid w:val="04ED5EFB"/>
    <w:rsid w:val="05010ED8"/>
    <w:rsid w:val="053B0253"/>
    <w:rsid w:val="05B01129"/>
    <w:rsid w:val="05B2517E"/>
    <w:rsid w:val="05E6132C"/>
    <w:rsid w:val="05EB39F3"/>
    <w:rsid w:val="06265024"/>
    <w:rsid w:val="06444FE9"/>
    <w:rsid w:val="06F875BC"/>
    <w:rsid w:val="077723F3"/>
    <w:rsid w:val="07BA224C"/>
    <w:rsid w:val="07C55D5F"/>
    <w:rsid w:val="07D7685D"/>
    <w:rsid w:val="07DB314C"/>
    <w:rsid w:val="08576960"/>
    <w:rsid w:val="08681D29"/>
    <w:rsid w:val="087E0690"/>
    <w:rsid w:val="087E2896"/>
    <w:rsid w:val="08AD7CD2"/>
    <w:rsid w:val="08C9441E"/>
    <w:rsid w:val="09754CCA"/>
    <w:rsid w:val="09811E46"/>
    <w:rsid w:val="09A46EA7"/>
    <w:rsid w:val="09F9533A"/>
    <w:rsid w:val="0A9D3EE6"/>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497B27"/>
    <w:rsid w:val="0D657CC0"/>
    <w:rsid w:val="0DA07251"/>
    <w:rsid w:val="0E77746F"/>
    <w:rsid w:val="0E7F5540"/>
    <w:rsid w:val="0EC35A62"/>
    <w:rsid w:val="10E76DB0"/>
    <w:rsid w:val="11053965"/>
    <w:rsid w:val="114C755C"/>
    <w:rsid w:val="11561791"/>
    <w:rsid w:val="11975758"/>
    <w:rsid w:val="119B21C8"/>
    <w:rsid w:val="11D84CE7"/>
    <w:rsid w:val="12A95836"/>
    <w:rsid w:val="12BC0AC8"/>
    <w:rsid w:val="13502AD3"/>
    <w:rsid w:val="135877E3"/>
    <w:rsid w:val="13827E14"/>
    <w:rsid w:val="1389712F"/>
    <w:rsid w:val="13F26691"/>
    <w:rsid w:val="14835CFA"/>
    <w:rsid w:val="14976E31"/>
    <w:rsid w:val="15896B2E"/>
    <w:rsid w:val="15E60C44"/>
    <w:rsid w:val="17176FF7"/>
    <w:rsid w:val="171A5B79"/>
    <w:rsid w:val="173F1CE9"/>
    <w:rsid w:val="17935886"/>
    <w:rsid w:val="17C5692F"/>
    <w:rsid w:val="18296DEB"/>
    <w:rsid w:val="18594C0F"/>
    <w:rsid w:val="18AA34E4"/>
    <w:rsid w:val="18AD5D43"/>
    <w:rsid w:val="1933383C"/>
    <w:rsid w:val="194B422B"/>
    <w:rsid w:val="19F7568B"/>
    <w:rsid w:val="1A2D134C"/>
    <w:rsid w:val="1A3909F7"/>
    <w:rsid w:val="1A7F0D36"/>
    <w:rsid w:val="1AA322A7"/>
    <w:rsid w:val="1AFB187F"/>
    <w:rsid w:val="1B266C05"/>
    <w:rsid w:val="1B3B5048"/>
    <w:rsid w:val="1B7C5471"/>
    <w:rsid w:val="1BF80209"/>
    <w:rsid w:val="1C044FD8"/>
    <w:rsid w:val="1C21791D"/>
    <w:rsid w:val="1C4A19C6"/>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272536"/>
    <w:rsid w:val="215329A7"/>
    <w:rsid w:val="21D54A29"/>
    <w:rsid w:val="223362B4"/>
    <w:rsid w:val="223D2660"/>
    <w:rsid w:val="22414948"/>
    <w:rsid w:val="22E14E60"/>
    <w:rsid w:val="23221DE1"/>
    <w:rsid w:val="233C3F04"/>
    <w:rsid w:val="234110EE"/>
    <w:rsid w:val="236A31AE"/>
    <w:rsid w:val="23A128FC"/>
    <w:rsid w:val="23A342CA"/>
    <w:rsid w:val="23A45AB1"/>
    <w:rsid w:val="23F22008"/>
    <w:rsid w:val="24094C8A"/>
    <w:rsid w:val="241B5572"/>
    <w:rsid w:val="24400428"/>
    <w:rsid w:val="24722998"/>
    <w:rsid w:val="24D42074"/>
    <w:rsid w:val="25354850"/>
    <w:rsid w:val="256D1E94"/>
    <w:rsid w:val="25810E77"/>
    <w:rsid w:val="25865EB8"/>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8304373"/>
    <w:rsid w:val="285F7A57"/>
    <w:rsid w:val="28B35CBF"/>
    <w:rsid w:val="28B9269C"/>
    <w:rsid w:val="28DB4E33"/>
    <w:rsid w:val="28EB0C28"/>
    <w:rsid w:val="292504C8"/>
    <w:rsid w:val="2961141D"/>
    <w:rsid w:val="298B1596"/>
    <w:rsid w:val="2A3F5177"/>
    <w:rsid w:val="2A401628"/>
    <w:rsid w:val="2A6246E1"/>
    <w:rsid w:val="2A851A2F"/>
    <w:rsid w:val="2A8B73F2"/>
    <w:rsid w:val="2A9E4A40"/>
    <w:rsid w:val="2B39288B"/>
    <w:rsid w:val="2B937442"/>
    <w:rsid w:val="2BCE75FB"/>
    <w:rsid w:val="2C507556"/>
    <w:rsid w:val="2C67603A"/>
    <w:rsid w:val="2D053731"/>
    <w:rsid w:val="2D23035D"/>
    <w:rsid w:val="2DB17A14"/>
    <w:rsid w:val="2DD0735B"/>
    <w:rsid w:val="2E083BF7"/>
    <w:rsid w:val="2E3D7877"/>
    <w:rsid w:val="2E5B4E96"/>
    <w:rsid w:val="2E897C20"/>
    <w:rsid w:val="2ECE0E0E"/>
    <w:rsid w:val="2F175EE3"/>
    <w:rsid w:val="2F302C7F"/>
    <w:rsid w:val="2F4A563D"/>
    <w:rsid w:val="2F646F25"/>
    <w:rsid w:val="2F932FF0"/>
    <w:rsid w:val="2FA56BAD"/>
    <w:rsid w:val="3044312F"/>
    <w:rsid w:val="304A5BDD"/>
    <w:rsid w:val="30565637"/>
    <w:rsid w:val="305D5CE9"/>
    <w:rsid w:val="310E5B18"/>
    <w:rsid w:val="31240C67"/>
    <w:rsid w:val="314031BA"/>
    <w:rsid w:val="31441F53"/>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5227326"/>
    <w:rsid w:val="35830905"/>
    <w:rsid w:val="360271F5"/>
    <w:rsid w:val="36325E56"/>
    <w:rsid w:val="36D5368C"/>
    <w:rsid w:val="377841C8"/>
    <w:rsid w:val="37D43CE3"/>
    <w:rsid w:val="37ED4BAA"/>
    <w:rsid w:val="381D65AC"/>
    <w:rsid w:val="38B16490"/>
    <w:rsid w:val="39111654"/>
    <w:rsid w:val="39223C66"/>
    <w:rsid w:val="395E4712"/>
    <w:rsid w:val="3A4078F3"/>
    <w:rsid w:val="3A854DE7"/>
    <w:rsid w:val="3A917598"/>
    <w:rsid w:val="3AE35762"/>
    <w:rsid w:val="3B077EAF"/>
    <w:rsid w:val="3B4C1B1C"/>
    <w:rsid w:val="3BF71853"/>
    <w:rsid w:val="3C9B6550"/>
    <w:rsid w:val="3D2F2E24"/>
    <w:rsid w:val="3D452C55"/>
    <w:rsid w:val="3D7B2589"/>
    <w:rsid w:val="3D820D4F"/>
    <w:rsid w:val="3DC162FC"/>
    <w:rsid w:val="3DEB340F"/>
    <w:rsid w:val="3E384527"/>
    <w:rsid w:val="3E654B3A"/>
    <w:rsid w:val="3EC8510D"/>
    <w:rsid w:val="3EE703CD"/>
    <w:rsid w:val="400972A3"/>
    <w:rsid w:val="40677F13"/>
    <w:rsid w:val="410D0BE6"/>
    <w:rsid w:val="4126464B"/>
    <w:rsid w:val="41420944"/>
    <w:rsid w:val="4183450D"/>
    <w:rsid w:val="41A14E5B"/>
    <w:rsid w:val="41B7793F"/>
    <w:rsid w:val="41C5741A"/>
    <w:rsid w:val="427C4110"/>
    <w:rsid w:val="42805584"/>
    <w:rsid w:val="431860B6"/>
    <w:rsid w:val="43387D85"/>
    <w:rsid w:val="43694FC5"/>
    <w:rsid w:val="4403001A"/>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7495976"/>
    <w:rsid w:val="48445DDD"/>
    <w:rsid w:val="48614F0D"/>
    <w:rsid w:val="486569F7"/>
    <w:rsid w:val="48E01328"/>
    <w:rsid w:val="48F13F42"/>
    <w:rsid w:val="495D5E49"/>
    <w:rsid w:val="49A137BC"/>
    <w:rsid w:val="49EE4451"/>
    <w:rsid w:val="4A75775E"/>
    <w:rsid w:val="4A7D6949"/>
    <w:rsid w:val="4A89544D"/>
    <w:rsid w:val="4AFE6907"/>
    <w:rsid w:val="4B0E4364"/>
    <w:rsid w:val="4B2F43E3"/>
    <w:rsid w:val="4B4672EB"/>
    <w:rsid w:val="4BD94154"/>
    <w:rsid w:val="4BDB34F5"/>
    <w:rsid w:val="4C411EE0"/>
    <w:rsid w:val="4CFA2F97"/>
    <w:rsid w:val="4D206414"/>
    <w:rsid w:val="4D6312D7"/>
    <w:rsid w:val="4D7A7442"/>
    <w:rsid w:val="4D8D1924"/>
    <w:rsid w:val="4E1C5441"/>
    <w:rsid w:val="4E4D64E9"/>
    <w:rsid w:val="4F04477A"/>
    <w:rsid w:val="4F8E0357"/>
    <w:rsid w:val="4FDD6F1F"/>
    <w:rsid w:val="4FDE1020"/>
    <w:rsid w:val="500F7134"/>
    <w:rsid w:val="5035063E"/>
    <w:rsid w:val="506916AC"/>
    <w:rsid w:val="510425AC"/>
    <w:rsid w:val="512D49DF"/>
    <w:rsid w:val="514A1AFC"/>
    <w:rsid w:val="51614EDF"/>
    <w:rsid w:val="517700DE"/>
    <w:rsid w:val="51B40036"/>
    <w:rsid w:val="5211411F"/>
    <w:rsid w:val="523D6E85"/>
    <w:rsid w:val="52566830"/>
    <w:rsid w:val="52CD707F"/>
    <w:rsid w:val="52EA46F3"/>
    <w:rsid w:val="5363569C"/>
    <w:rsid w:val="53915975"/>
    <w:rsid w:val="539A7696"/>
    <w:rsid w:val="542F200B"/>
    <w:rsid w:val="54B47C04"/>
    <w:rsid w:val="553D44D4"/>
    <w:rsid w:val="554172FC"/>
    <w:rsid w:val="554655DF"/>
    <w:rsid w:val="5566637C"/>
    <w:rsid w:val="55825C9E"/>
    <w:rsid w:val="55B242A1"/>
    <w:rsid w:val="55C86C89"/>
    <w:rsid w:val="563C2A07"/>
    <w:rsid w:val="56825449"/>
    <w:rsid w:val="56B25DBD"/>
    <w:rsid w:val="56FF3B83"/>
    <w:rsid w:val="57016A14"/>
    <w:rsid w:val="572124A6"/>
    <w:rsid w:val="575541CF"/>
    <w:rsid w:val="57A7652E"/>
    <w:rsid w:val="57AD6958"/>
    <w:rsid w:val="57E82A26"/>
    <w:rsid w:val="58417B4A"/>
    <w:rsid w:val="585B0EC7"/>
    <w:rsid w:val="58617111"/>
    <w:rsid w:val="588B25D6"/>
    <w:rsid w:val="591201EA"/>
    <w:rsid w:val="592A66BD"/>
    <w:rsid w:val="59EB5F4C"/>
    <w:rsid w:val="59F12FC7"/>
    <w:rsid w:val="5A365D77"/>
    <w:rsid w:val="5A5D4C83"/>
    <w:rsid w:val="5A907143"/>
    <w:rsid w:val="5B2E3468"/>
    <w:rsid w:val="5B650EAF"/>
    <w:rsid w:val="5B6A0BCC"/>
    <w:rsid w:val="5C5870F7"/>
    <w:rsid w:val="5C8452D4"/>
    <w:rsid w:val="5CB97A67"/>
    <w:rsid w:val="5CD51CFC"/>
    <w:rsid w:val="5D155388"/>
    <w:rsid w:val="5D416B9C"/>
    <w:rsid w:val="5D5828C3"/>
    <w:rsid w:val="5D6A4F8A"/>
    <w:rsid w:val="5D767FEC"/>
    <w:rsid w:val="5DC74D7D"/>
    <w:rsid w:val="5E4A24EA"/>
    <w:rsid w:val="5E7C2110"/>
    <w:rsid w:val="5F476F77"/>
    <w:rsid w:val="5F5B35F9"/>
    <w:rsid w:val="5F940B73"/>
    <w:rsid w:val="5FEB5295"/>
    <w:rsid w:val="605E0040"/>
    <w:rsid w:val="606006FD"/>
    <w:rsid w:val="60621EDD"/>
    <w:rsid w:val="60AC299B"/>
    <w:rsid w:val="60E739C5"/>
    <w:rsid w:val="60F04D5C"/>
    <w:rsid w:val="6110004D"/>
    <w:rsid w:val="61164C76"/>
    <w:rsid w:val="613B1FB7"/>
    <w:rsid w:val="6188757E"/>
    <w:rsid w:val="62A84FC1"/>
    <w:rsid w:val="62C17B14"/>
    <w:rsid w:val="63316192"/>
    <w:rsid w:val="63506C72"/>
    <w:rsid w:val="64040342"/>
    <w:rsid w:val="64151B2C"/>
    <w:rsid w:val="64182C53"/>
    <w:rsid w:val="641B107A"/>
    <w:rsid w:val="645547E4"/>
    <w:rsid w:val="64D95B82"/>
    <w:rsid w:val="65F76812"/>
    <w:rsid w:val="66227358"/>
    <w:rsid w:val="66683E11"/>
    <w:rsid w:val="666F7EF3"/>
    <w:rsid w:val="66B26001"/>
    <w:rsid w:val="66C5616F"/>
    <w:rsid w:val="66CB6149"/>
    <w:rsid w:val="671E2E81"/>
    <w:rsid w:val="67381582"/>
    <w:rsid w:val="6740360A"/>
    <w:rsid w:val="67743274"/>
    <w:rsid w:val="67957FAB"/>
    <w:rsid w:val="67A60E13"/>
    <w:rsid w:val="67BB5967"/>
    <w:rsid w:val="68217031"/>
    <w:rsid w:val="68374C76"/>
    <w:rsid w:val="683850C9"/>
    <w:rsid w:val="68624E05"/>
    <w:rsid w:val="687359A1"/>
    <w:rsid w:val="68786E69"/>
    <w:rsid w:val="68916848"/>
    <w:rsid w:val="68A33FCC"/>
    <w:rsid w:val="69072A62"/>
    <w:rsid w:val="69797C2C"/>
    <w:rsid w:val="69DC46DF"/>
    <w:rsid w:val="6A1A0A73"/>
    <w:rsid w:val="6A4142CA"/>
    <w:rsid w:val="6A791F99"/>
    <w:rsid w:val="6A7F667C"/>
    <w:rsid w:val="6B414B2D"/>
    <w:rsid w:val="6B532EC6"/>
    <w:rsid w:val="6B5A5E62"/>
    <w:rsid w:val="6B7C65BA"/>
    <w:rsid w:val="6BC605B2"/>
    <w:rsid w:val="6BF933F2"/>
    <w:rsid w:val="6BF972C1"/>
    <w:rsid w:val="6C2117FB"/>
    <w:rsid w:val="6C28684C"/>
    <w:rsid w:val="6C463007"/>
    <w:rsid w:val="6C9004BE"/>
    <w:rsid w:val="6CE25E3B"/>
    <w:rsid w:val="6CE90180"/>
    <w:rsid w:val="6D911680"/>
    <w:rsid w:val="6DD1681A"/>
    <w:rsid w:val="6DD979C6"/>
    <w:rsid w:val="6DE3633C"/>
    <w:rsid w:val="6E24126E"/>
    <w:rsid w:val="6E9F35CF"/>
    <w:rsid w:val="6F0319F7"/>
    <w:rsid w:val="6F046FD9"/>
    <w:rsid w:val="6F2A7617"/>
    <w:rsid w:val="6F5E3677"/>
    <w:rsid w:val="6F7A04F8"/>
    <w:rsid w:val="6F7E1F18"/>
    <w:rsid w:val="6F966E72"/>
    <w:rsid w:val="70297BFC"/>
    <w:rsid w:val="70756AA2"/>
    <w:rsid w:val="708B090A"/>
    <w:rsid w:val="70E97234"/>
    <w:rsid w:val="711A6ED5"/>
    <w:rsid w:val="71200D36"/>
    <w:rsid w:val="71367779"/>
    <w:rsid w:val="717D19DE"/>
    <w:rsid w:val="718E3D2D"/>
    <w:rsid w:val="719C1153"/>
    <w:rsid w:val="71A06C84"/>
    <w:rsid w:val="71A12D4A"/>
    <w:rsid w:val="71D403C9"/>
    <w:rsid w:val="71FE44FD"/>
    <w:rsid w:val="71FF7E96"/>
    <w:rsid w:val="726B3514"/>
    <w:rsid w:val="727A6FE3"/>
    <w:rsid w:val="72C11D05"/>
    <w:rsid w:val="72C61A7F"/>
    <w:rsid w:val="730940E4"/>
    <w:rsid w:val="73393A94"/>
    <w:rsid w:val="733F5E92"/>
    <w:rsid w:val="73623050"/>
    <w:rsid w:val="738E331D"/>
    <w:rsid w:val="739E4BB7"/>
    <w:rsid w:val="73B84BDF"/>
    <w:rsid w:val="73FC01A7"/>
    <w:rsid w:val="740204EB"/>
    <w:rsid w:val="74C86E9E"/>
    <w:rsid w:val="750B2D7D"/>
    <w:rsid w:val="75757E4A"/>
    <w:rsid w:val="758D6E11"/>
    <w:rsid w:val="75E91364"/>
    <w:rsid w:val="76DF75B0"/>
    <w:rsid w:val="774A0E18"/>
    <w:rsid w:val="77B40194"/>
    <w:rsid w:val="77B4768B"/>
    <w:rsid w:val="783F5B0E"/>
    <w:rsid w:val="78B00041"/>
    <w:rsid w:val="79113FB4"/>
    <w:rsid w:val="794C0A43"/>
    <w:rsid w:val="7954315B"/>
    <w:rsid w:val="79844E6A"/>
    <w:rsid w:val="79A45A7A"/>
    <w:rsid w:val="79D13DC4"/>
    <w:rsid w:val="79F75010"/>
    <w:rsid w:val="7A4A6DB6"/>
    <w:rsid w:val="7A577BEE"/>
    <w:rsid w:val="7A625516"/>
    <w:rsid w:val="7AE774A3"/>
    <w:rsid w:val="7B214221"/>
    <w:rsid w:val="7B8D123D"/>
    <w:rsid w:val="7B8D5846"/>
    <w:rsid w:val="7BB80125"/>
    <w:rsid w:val="7C323319"/>
    <w:rsid w:val="7C534340"/>
    <w:rsid w:val="7C692247"/>
    <w:rsid w:val="7CA77E90"/>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76C9AA-F105-423E-ACF7-3F9D0CAC2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5"/>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link w:val="Char2"/>
    <w:uiPriority w:val="34"/>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 w:type="paragraph" w:customStyle="1" w:styleId="Agreement">
    <w:name w:val="Agreement"/>
    <w:basedOn w:val="a"/>
    <w:next w:val="Doc-text2"/>
    <w:uiPriority w:val="99"/>
    <w:qFormat/>
    <w:pPr>
      <w:numPr>
        <w:numId w:val="3"/>
      </w:numPr>
      <w:spacing w:before="60"/>
    </w:pPr>
    <w:rPr>
      <w:b/>
    </w:rPr>
  </w:style>
  <w:style w:type="paragraph" w:customStyle="1" w:styleId="Doc-text2">
    <w:name w:val="Doc-text2"/>
    <w:basedOn w:val="a"/>
    <w:qFormat/>
    <w:pPr>
      <w:tabs>
        <w:tab w:val="left" w:pos="1622"/>
      </w:tabs>
      <w:ind w:left="1622" w:hanging="363"/>
    </w:pPr>
  </w:style>
  <w:style w:type="paragraph" w:customStyle="1" w:styleId="TAN">
    <w:name w:val="TAN"/>
    <w:basedOn w:val="TAL"/>
    <w:qFormat/>
    <w:pPr>
      <w:ind w:left="851" w:hanging="851"/>
    </w:pPr>
  </w:style>
  <w:style w:type="character" w:customStyle="1" w:styleId="TAHCar">
    <w:name w:val="TAH Car"/>
    <w:link w:val="TAH"/>
    <w:qFormat/>
    <w:rPr>
      <w:rFonts w:ascii="Arial" w:hAnsi="Arial"/>
      <w:b/>
      <w:kern w:val="2"/>
      <w:sz w:val="18"/>
      <w:szCs w:val="24"/>
    </w:rPr>
  </w:style>
  <w:style w:type="character" w:customStyle="1" w:styleId="Char2">
    <w:name w:val="列出段落 Char"/>
    <w:link w:val="af2"/>
    <w:uiPriority w:val="34"/>
    <w:qFormat/>
    <w:locked/>
    <w:rPr>
      <w:kern w:val="2"/>
      <w:sz w:val="21"/>
      <w:szCs w:val="24"/>
    </w:rPr>
  </w:style>
  <w:style w:type="character" w:customStyle="1" w:styleId="TALCar">
    <w:name w:val="TAL Car"/>
    <w:basedOn w:val="a0"/>
    <w:link w:val="TAL"/>
    <w:qFormat/>
    <w:locked/>
    <w:rPr>
      <w:rFonts w:ascii="Arial" w:hAnsi="Arial"/>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87B58B-498F-4B6A-AC55-841269C27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1039</Words>
  <Characters>5927</Characters>
  <Application>Microsoft Office Word</Application>
  <DocSecurity>0</DocSecurity>
  <Lines>49</Lines>
  <Paragraphs>13</Paragraphs>
  <ScaleCrop>false</ScaleCrop>
  <Company>zte</Company>
  <LinksUpToDate>false</LinksUpToDate>
  <CharactersWithSpaces>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34</cp:revision>
  <cp:lastPrinted>2113-01-01T00:00:00Z</cp:lastPrinted>
  <dcterms:created xsi:type="dcterms:W3CDTF">2021-08-02T11:27:00Z</dcterms:created>
  <dcterms:modified xsi:type="dcterms:W3CDTF">2021-11-04T12:12:00Z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